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default" w:cs="Arial"/>
          <w:bCs/>
          <w:sz w:val="22"/>
          <w:szCs w:val="22"/>
          <w:lang w:val="en-US" w:eastAsia="zh-CN"/>
        </w:rPr>
      </w:pPr>
      <w:bookmarkStart w:id="0" w:name="_Ref494746248"/>
      <w:r>
        <w:rPr>
          <w:rFonts w:cs="Arial"/>
          <w:bCs/>
          <w:sz w:val="22"/>
          <w:szCs w:val="22"/>
          <w:lang w:eastAsia="zh-CN"/>
        </w:rPr>
        <w:t>3GPP TSG RAN WG1 #10</w:t>
      </w:r>
      <w:r>
        <w:rPr>
          <w:rFonts w:hint="default" w:cs="Arial"/>
          <w:bCs/>
          <w:sz w:val="22"/>
          <w:szCs w:val="22"/>
          <w:lang w:val="en-US" w:eastAsia="zh-CN"/>
        </w:rPr>
        <w:t>8</w:t>
      </w:r>
      <w:r>
        <w:rPr>
          <w:rFonts w:hint="eastAsia" w:cs="Arial"/>
          <w:bCs/>
          <w:sz w:val="22"/>
          <w:szCs w:val="22"/>
          <w:lang w:val="en-US" w:eastAsia="zh-CN"/>
        </w:rPr>
        <w:t>-e</w:t>
      </w:r>
      <w:r>
        <w:rPr>
          <w:rFonts w:hint="eastAsia" w:cs="Arial"/>
          <w:bCs/>
          <w:sz w:val="22"/>
          <w:szCs w:val="22"/>
          <w:lang w:eastAsia="zh-CN"/>
        </w:rPr>
        <w:t xml:space="preserve">                                           </w:t>
      </w:r>
      <w:r>
        <w:rPr>
          <w:rFonts w:hint="eastAsia" w:cs="Arial"/>
          <w:bCs/>
          <w:sz w:val="22"/>
          <w:szCs w:val="22"/>
          <w:lang w:val="en-US" w:eastAsia="zh-CN"/>
        </w:rPr>
        <w:t xml:space="preserve">   </w:t>
      </w:r>
      <w:r>
        <w:rPr>
          <w:rFonts w:hint="default" w:cs="Arial"/>
          <w:bCs/>
          <w:sz w:val="22"/>
          <w:szCs w:val="22"/>
          <w:lang w:val="en-US" w:eastAsia="zh-CN"/>
        </w:rPr>
        <w:t xml:space="preserve"> </w:t>
      </w:r>
      <w:r>
        <w:rPr>
          <w:rFonts w:hint="default" w:cs="Arial"/>
          <w:bCs/>
          <w:sz w:val="22"/>
          <w:szCs w:val="22"/>
          <w:lang w:val="en-US" w:eastAsia="zh-CN"/>
        </w:rPr>
        <w:tab/>
      </w:r>
      <w:r>
        <w:rPr>
          <w:rFonts w:hint="default" w:cs="Arial"/>
          <w:bCs/>
          <w:sz w:val="22"/>
          <w:szCs w:val="22"/>
          <w:lang w:val="en-US" w:eastAsia="zh-CN"/>
        </w:rPr>
        <w:t xml:space="preserve">   </w:t>
      </w:r>
      <w:r>
        <w:rPr>
          <w:rFonts w:hint="eastAsia" w:cs="Arial"/>
          <w:bCs/>
          <w:sz w:val="22"/>
          <w:szCs w:val="22"/>
          <w:lang w:val="en-US" w:eastAsia="zh-CN"/>
        </w:rPr>
        <w:t>R1-2201166</w:t>
      </w:r>
    </w:p>
    <w:p>
      <w:pPr>
        <w:tabs>
          <w:tab w:val="right" w:pos="9630"/>
        </w:tabs>
        <w:spacing w:after="0"/>
        <w:rPr>
          <w:rFonts w:ascii="Arial" w:hAnsi="Arial" w:cs="Arial"/>
          <w:b/>
          <w:sz w:val="22"/>
          <w:szCs w:val="22"/>
        </w:rPr>
      </w:pPr>
      <w:r>
        <w:rPr>
          <w:rFonts w:hint="eastAsia" w:ascii="Arial" w:hAnsi="Arial" w:cs="Arial"/>
          <w:b/>
          <w:sz w:val="22"/>
          <w:szCs w:val="22"/>
        </w:rPr>
        <w:t xml:space="preserve">e-Meeting, </w:t>
      </w:r>
      <w:r>
        <w:rPr>
          <w:rFonts w:ascii="Arial" w:hAnsi="Arial" w:eastAsia="MS Mincho" w:cs="Arial"/>
          <w:b/>
          <w:bCs/>
          <w:sz w:val="22"/>
          <w:szCs w:val="16"/>
          <w:lang w:eastAsia="ja-JP"/>
        </w:rPr>
        <w:t>February 21</w:t>
      </w:r>
      <w:r>
        <w:rPr>
          <w:rFonts w:ascii="Arial" w:hAnsi="Arial" w:eastAsia="MS Mincho" w:cs="Arial"/>
          <w:b/>
          <w:bCs/>
          <w:sz w:val="22"/>
          <w:szCs w:val="16"/>
          <w:vertAlign w:val="superscript"/>
          <w:lang w:eastAsia="ja-JP"/>
        </w:rPr>
        <w:t>st</w:t>
      </w:r>
      <w:r>
        <w:rPr>
          <w:rFonts w:ascii="Arial" w:hAnsi="Arial" w:eastAsia="MS Mincho" w:cs="Arial"/>
          <w:b/>
          <w:bCs/>
          <w:sz w:val="22"/>
          <w:szCs w:val="16"/>
          <w:lang w:eastAsia="ja-JP"/>
        </w:rPr>
        <w:t xml:space="preserve"> – March 3</w:t>
      </w:r>
      <w:r>
        <w:rPr>
          <w:rFonts w:ascii="Arial" w:hAnsi="Arial" w:eastAsia="MS Mincho" w:cs="Arial"/>
          <w:b/>
          <w:bCs/>
          <w:sz w:val="22"/>
          <w:szCs w:val="16"/>
          <w:vertAlign w:val="superscript"/>
          <w:lang w:eastAsia="ja-JP"/>
        </w:rPr>
        <w:t>rd</w:t>
      </w:r>
      <w:r>
        <w:rPr>
          <w:rFonts w:ascii="Arial" w:hAnsi="Arial" w:eastAsia="MS Mincho" w:cs="Arial"/>
          <w:b/>
          <w:bCs/>
          <w:sz w:val="22"/>
          <w:szCs w:val="16"/>
          <w:lang w:eastAsia="ja-JP"/>
        </w:rPr>
        <w:t>, 2022</w:t>
      </w:r>
    </w:p>
    <w:p>
      <w:pPr>
        <w:tabs>
          <w:tab w:val="center" w:pos="4536"/>
          <w:tab w:val="right" w:pos="9072"/>
        </w:tabs>
      </w:pPr>
      <w:r>
        <w:rPr>
          <w:rFonts w:ascii="Arial" w:hAnsi="Arial" w:cs="Arial"/>
          <w:b/>
          <w:sz w:val="22"/>
          <w:szCs w:val="22"/>
        </w:rPr>
        <w:tab/>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hint="default" w:ascii="Arial" w:hAnsi="Arial"/>
          <w:b/>
          <w:lang w:val="en-US" w:eastAsia="zh-CN"/>
        </w:rPr>
      </w:pPr>
      <w:r>
        <w:rPr>
          <w:rFonts w:ascii="Arial" w:hAnsi="Arial"/>
          <w:b/>
        </w:rPr>
        <w:t xml:space="preserve">Title: </w:t>
      </w:r>
      <w:r>
        <w:rPr>
          <w:rFonts w:ascii="Arial" w:hAnsi="Arial"/>
          <w:b/>
        </w:rPr>
        <w:tab/>
      </w:r>
      <w:r>
        <w:rPr>
          <w:rFonts w:hint="eastAsia" w:ascii="Arial" w:hAnsi="Arial"/>
          <w:b/>
          <w:sz w:val="21"/>
          <w:szCs w:val="22"/>
          <w:lang w:eastAsia="zh-CN"/>
        </w:rPr>
        <w:t>Discussion on remaining issues for joint channel estimation for PUSCH</w:t>
      </w:r>
    </w:p>
    <w:p>
      <w:pPr>
        <w:tabs>
          <w:tab w:val="left" w:pos="1985"/>
        </w:tabs>
        <w:spacing w:after="0"/>
        <w:rPr>
          <w:rFonts w:hint="default" w:ascii="Arial" w:hAnsi="Arial"/>
          <w:b/>
          <w:lang w:val="en-US" w:eastAsia="zh-CN"/>
        </w:rPr>
      </w:pPr>
      <w:r>
        <w:rPr>
          <w:rFonts w:ascii="Arial" w:hAnsi="Arial"/>
          <w:b/>
        </w:rPr>
        <w:t>Agenda item:</w:t>
      </w:r>
      <w:r>
        <w:rPr>
          <w:rFonts w:ascii="Arial" w:hAnsi="Arial"/>
          <w:b/>
        </w:rPr>
        <w:tab/>
      </w:r>
      <w:r>
        <w:rPr>
          <w:rFonts w:hint="eastAsia" w:ascii="Arial" w:hAnsi="Arial"/>
          <w:b/>
          <w:lang w:eastAsia="zh-CN"/>
        </w:rPr>
        <w:t>8.</w:t>
      </w:r>
      <w:r>
        <w:rPr>
          <w:rFonts w:hint="eastAsia" w:ascii="Arial" w:hAnsi="Arial"/>
          <w:b/>
          <w:lang w:val="en-US" w:eastAsia="zh-CN"/>
        </w:rPr>
        <w:t>8.1.3</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bidi w:val="0"/>
        <w:rPr>
          <w:rFonts w:hint="default"/>
          <w:lang w:val="en-US"/>
        </w:rPr>
      </w:pPr>
      <w:r>
        <w:rPr>
          <w:rFonts w:hint="eastAsia"/>
          <w:lang w:val="en-US" w:eastAsia="zh-CN"/>
        </w:rPr>
        <w:t>In RAN1#10</w:t>
      </w:r>
      <w:r>
        <w:rPr>
          <w:rFonts w:hint="default"/>
          <w:lang w:val="en-US" w:eastAsia="zh-CN"/>
        </w:rPr>
        <w:t>7</w:t>
      </w:r>
      <w:r>
        <w:rPr>
          <w:rFonts w:hint="eastAsia"/>
          <w:lang w:val="en-US" w:eastAsia="zh-CN"/>
        </w:rPr>
        <w:t xml:space="preserve">-e, </w:t>
      </w:r>
      <w:r>
        <w:rPr>
          <w:rFonts w:hint="default" w:ascii="Times New Roman" w:hAnsi="Times New Roman" w:cs="Times New Roman"/>
          <w:color w:val="auto"/>
          <w:sz w:val="20"/>
          <w:szCs w:val="20"/>
          <w:lang w:eastAsia="ko-KR"/>
        </w:rPr>
        <w:t>joint channel estimation for PUSCH</w:t>
      </w:r>
      <w:r>
        <w:rPr>
          <w:rFonts w:hint="eastAsia"/>
          <w:lang w:val="en-US" w:eastAsia="zh-CN"/>
        </w:rPr>
        <w:t xml:space="preserve"> was discussed with reaching the following </w:t>
      </w:r>
      <w:r>
        <w:rPr>
          <w:rFonts w:hint="default"/>
          <w:lang w:val="en-US" w:eastAsia="zh-CN"/>
        </w:rPr>
        <w:t xml:space="preserve">working assumption </w:t>
      </w:r>
      <w:r>
        <w:rPr>
          <w:rFonts w:hint="eastAsia"/>
          <w:lang w:val="en-US" w:eastAsia="zh-CN"/>
        </w:rPr>
        <w:t xml:space="preserve">[1]. </w:t>
      </w:r>
      <w:r>
        <w:rPr>
          <w:rFonts w:hint="default"/>
          <w:lang w:val="en-US" w:eastAsia="zh-CN"/>
        </w:rPr>
        <w:t xml:space="preserve">In RAN1#107bis-e, the working assumption could not be confirmed since companies have different understanding on the power control for PUSCH [2]. </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val="0"/>
              <w:keepLines w:val="0"/>
              <w:pageBreakBefore w:val="0"/>
              <w:widowControl/>
              <w:kinsoku/>
              <w:wordWrap/>
              <w:topLinePunct w:val="0"/>
              <w:autoSpaceDE w:val="0"/>
              <w:autoSpaceDN w:val="0"/>
              <w:bidi w:val="0"/>
              <w:adjustRightInd w:val="0"/>
              <w:snapToGrid w:val="0"/>
              <w:spacing w:before="120" w:after="0" w:line="280" w:lineRule="atLeast"/>
              <w:rPr>
                <w:rFonts w:ascii="Times New Roman" w:hAnsi="Times New Roman"/>
                <w:b/>
                <w:highlight w:val="darkYellow"/>
              </w:rPr>
            </w:pPr>
            <w:r>
              <w:rPr>
                <w:rFonts w:ascii="Times New Roman" w:hAnsi="Times New Roman"/>
                <w:b/>
                <w:highlight w:val="darkYellow"/>
              </w:rPr>
              <w:t>Working assumption:</w:t>
            </w:r>
          </w:p>
          <w:p>
            <w:pPr>
              <w:pStyle w:val="114"/>
              <w:keepNext w:val="0"/>
              <w:keepLines w:val="0"/>
              <w:pageBreakBefore w:val="0"/>
              <w:widowControl/>
              <w:numPr>
                <w:ilvl w:val="0"/>
                <w:numId w:val="10"/>
              </w:numPr>
              <w:kinsoku/>
              <w:wordWrap/>
              <w:topLinePunct w:val="0"/>
              <w:autoSpaceDE w:val="0"/>
              <w:autoSpaceDN w:val="0"/>
              <w:bidi w:val="0"/>
              <w:adjustRightInd w:val="0"/>
              <w:snapToGrid w:val="0"/>
              <w:spacing w:before="120" w:after="0" w:line="259" w:lineRule="auto"/>
              <w:ind w:leftChars="0"/>
              <w:jc w:val="both"/>
              <w:rPr>
                <w:sz w:val="21"/>
                <w:szCs w:val="21"/>
                <w:lang w:eastAsia="zh-CN"/>
              </w:rPr>
            </w:pPr>
            <w:r>
              <w:rPr>
                <w:sz w:val="21"/>
                <w:szCs w:val="21"/>
                <w:lang w:eastAsia="zh-CN"/>
              </w:rPr>
              <w:t>The action of group common TPC commands with format 2_2 does not constitute an event that violates power consistency and phase continuity.</w:t>
            </w:r>
          </w:p>
          <w:p>
            <w:pPr>
              <w:pStyle w:val="114"/>
              <w:keepNext w:val="0"/>
              <w:keepLines w:val="0"/>
              <w:pageBreakBefore w:val="0"/>
              <w:widowControl/>
              <w:numPr>
                <w:ilvl w:val="1"/>
                <w:numId w:val="11"/>
              </w:numPr>
              <w:kinsoku/>
              <w:wordWrap/>
              <w:topLinePunct w:val="0"/>
              <w:autoSpaceDE w:val="0"/>
              <w:autoSpaceDN w:val="0"/>
              <w:bidi w:val="0"/>
              <w:adjustRightInd w:val="0"/>
              <w:snapToGrid w:val="0"/>
              <w:spacing w:before="120" w:after="0" w:line="280" w:lineRule="atLeast"/>
              <w:ind w:left="780" w:leftChars="0"/>
              <w:jc w:val="both"/>
              <w:rPr>
                <w:sz w:val="21"/>
                <w:szCs w:val="21"/>
              </w:rPr>
            </w:pPr>
            <w:r>
              <w:rPr>
                <w:sz w:val="21"/>
                <w:szCs w:val="21"/>
                <w:lang w:eastAsia="zh-CN"/>
              </w:rPr>
              <w:t xml:space="preserve">If UE is configured to </w:t>
            </w:r>
            <w:r>
              <w:rPr>
                <w:bCs/>
                <w:sz w:val="21"/>
                <w:szCs w:val="21"/>
              </w:rPr>
              <w:t>accumulate TPC commands,</w:t>
            </w:r>
          </w:p>
          <w:p>
            <w:pPr>
              <w:keepNext w:val="0"/>
              <w:keepLines w:val="0"/>
              <w:pageBreakBefore w:val="0"/>
              <w:widowControl/>
              <w:numPr>
                <w:ilvl w:val="2"/>
                <w:numId w:val="12"/>
              </w:numPr>
              <w:kinsoku/>
              <w:wordWrap/>
              <w:topLinePunct w:val="0"/>
              <w:autoSpaceDE w:val="0"/>
              <w:autoSpaceDN w:val="0"/>
              <w:bidi w:val="0"/>
              <w:adjustRightInd w:val="0"/>
              <w:snapToGrid w:val="0"/>
              <w:spacing w:before="120" w:after="0" w:line="280" w:lineRule="atLeast"/>
              <w:jc w:val="both"/>
              <w:rPr>
                <w:rFonts w:ascii="Times New Roman" w:hAnsi="Times New Roman" w:eastAsia="宋体"/>
                <w:szCs w:val="21"/>
              </w:rPr>
            </w:pPr>
            <w:r>
              <w:rPr>
                <w:rFonts w:ascii="Times New Roman" w:hAnsi="Times New Roman" w:eastAsia="宋体"/>
                <w:szCs w:val="21"/>
              </w:rPr>
              <w:t>If UE receives TPC commands that would take into effect during a configured TDW, UE accumulates TPC commands without taking effect during the current configured TDW. TPC commands take effect after the current configured TDW.</w:t>
            </w:r>
          </w:p>
          <w:p>
            <w:pPr>
              <w:pStyle w:val="114"/>
              <w:keepNext w:val="0"/>
              <w:keepLines w:val="0"/>
              <w:pageBreakBefore w:val="0"/>
              <w:widowControl/>
              <w:numPr>
                <w:ilvl w:val="1"/>
                <w:numId w:val="11"/>
              </w:numPr>
              <w:kinsoku/>
              <w:wordWrap/>
              <w:topLinePunct w:val="0"/>
              <w:autoSpaceDE w:val="0"/>
              <w:autoSpaceDN w:val="0"/>
              <w:bidi w:val="0"/>
              <w:adjustRightInd w:val="0"/>
              <w:snapToGrid w:val="0"/>
              <w:spacing w:before="120" w:after="0" w:line="280" w:lineRule="atLeast"/>
              <w:ind w:left="780" w:leftChars="0"/>
              <w:jc w:val="both"/>
              <w:rPr>
                <w:sz w:val="21"/>
                <w:szCs w:val="21"/>
                <w:lang w:eastAsia="zh-CN"/>
              </w:rPr>
            </w:pPr>
            <w:r>
              <w:rPr>
                <w:sz w:val="21"/>
                <w:szCs w:val="21"/>
                <w:lang w:eastAsia="zh-CN"/>
              </w:rPr>
              <w:t>If UE is not configured to accumulate TPC commands</w:t>
            </w:r>
          </w:p>
          <w:p>
            <w:pPr>
              <w:keepNext w:val="0"/>
              <w:keepLines w:val="0"/>
              <w:pageBreakBefore w:val="0"/>
              <w:widowControl/>
              <w:numPr>
                <w:ilvl w:val="2"/>
                <w:numId w:val="12"/>
              </w:numPr>
              <w:kinsoku/>
              <w:wordWrap/>
              <w:topLinePunct w:val="0"/>
              <w:autoSpaceDE w:val="0"/>
              <w:autoSpaceDN w:val="0"/>
              <w:bidi w:val="0"/>
              <w:adjustRightInd w:val="0"/>
              <w:snapToGrid w:val="0"/>
              <w:spacing w:before="120" w:after="0" w:line="280" w:lineRule="atLeast"/>
              <w:jc w:val="both"/>
              <w:rPr>
                <w:rFonts w:ascii="Times New Roman" w:hAnsi="Times New Roman" w:eastAsia="宋体"/>
                <w:szCs w:val="21"/>
              </w:rPr>
            </w:pPr>
            <w:r>
              <w:rPr>
                <w:rFonts w:ascii="Times New Roman" w:hAnsi="Times New Roman" w:eastAsia="宋体"/>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pPr>
              <w:keepNext w:val="0"/>
              <w:keepLines w:val="0"/>
              <w:pageBreakBefore w:val="0"/>
              <w:widowControl/>
              <w:numPr>
                <w:ilvl w:val="3"/>
                <w:numId w:val="12"/>
              </w:numPr>
              <w:kinsoku/>
              <w:wordWrap/>
              <w:topLinePunct w:val="0"/>
              <w:autoSpaceDE w:val="0"/>
              <w:autoSpaceDN w:val="0"/>
              <w:bidi w:val="0"/>
              <w:adjustRightInd w:val="0"/>
              <w:snapToGrid w:val="0"/>
              <w:spacing w:before="120" w:after="0" w:line="280" w:lineRule="atLeast"/>
              <w:jc w:val="both"/>
              <w:rPr>
                <w:rFonts w:hint="eastAsia"/>
                <w:color w:val="auto"/>
                <w:highlight w:val="none"/>
                <w:vertAlign w:val="baseline"/>
                <w:lang w:eastAsia="zh-CN"/>
              </w:rPr>
            </w:pPr>
            <w:r>
              <w:rPr>
                <w:rFonts w:ascii="Times New Roman" w:hAnsi="Times New Roman" w:eastAsia="宋体"/>
                <w:szCs w:val="21"/>
              </w:rPr>
              <w:t>FFS: no more than 1 TPC command is expected to take effect during a configured TDW.</w:t>
            </w:r>
          </w:p>
        </w:tc>
      </w:tr>
    </w:tbl>
    <w:p>
      <w:pPr>
        <w:keepNext w:val="0"/>
        <w:keepLines w:val="0"/>
        <w:pageBreakBefore w:val="0"/>
        <w:widowControl/>
        <w:kinsoku/>
        <w:wordWrap/>
        <w:overflowPunct w:val="0"/>
        <w:topLinePunct w:val="0"/>
        <w:autoSpaceDE w:val="0"/>
        <w:autoSpaceDN w:val="0"/>
        <w:bidi w:val="0"/>
        <w:adjustRightInd w:val="0"/>
        <w:snapToGrid w:val="0"/>
        <w:spacing w:before="137" w:beforeLines="50"/>
        <w:textAlignment w:val="baseline"/>
        <w:rPr>
          <w:rFonts w:hint="default"/>
          <w:highlight w:val="none"/>
          <w:lang w:val="en-US" w:eastAsia="zh-CN"/>
        </w:rPr>
      </w:pPr>
      <w:r>
        <w:rPr>
          <w:rFonts w:hint="eastAsia"/>
          <w:color w:val="auto"/>
          <w:highlight w:val="none"/>
          <w:lang w:eastAsia="zh-CN"/>
        </w:rPr>
        <w:t xml:space="preserve">In this contribution, we </w:t>
      </w:r>
      <w:r>
        <w:rPr>
          <w:rFonts w:hint="eastAsia"/>
          <w:color w:val="auto"/>
          <w:highlight w:val="none"/>
          <w:lang w:val="en-US" w:eastAsia="zh-CN"/>
        </w:rPr>
        <w:t>provide our</w:t>
      </w:r>
      <w:r>
        <w:rPr>
          <w:rFonts w:hint="default"/>
          <w:color w:val="auto"/>
          <w:highlight w:val="none"/>
          <w:lang w:val="en-US" w:eastAsia="zh-CN"/>
        </w:rPr>
        <w:t xml:space="preserve"> views</w:t>
      </w:r>
      <w:r>
        <w:rPr>
          <w:rStyle w:val="153"/>
          <w:rFonts w:eastAsia="宋体"/>
          <w:color w:val="auto"/>
        </w:rPr>
        <w:t xml:space="preserve"> </w:t>
      </w:r>
      <w:r>
        <w:rPr>
          <w:rFonts w:hint="eastAsia"/>
          <w:color w:val="auto"/>
          <w:highlight w:val="none"/>
          <w:lang w:val="en-US" w:eastAsia="zh-CN"/>
        </w:rPr>
        <w:t>on</w:t>
      </w:r>
      <w:r>
        <w:rPr>
          <w:rStyle w:val="153"/>
          <w:rFonts w:eastAsia="宋体"/>
          <w:color w:val="auto"/>
        </w:rPr>
        <w:t xml:space="preserve"> </w:t>
      </w:r>
      <w:r>
        <w:rPr>
          <w:rStyle w:val="153"/>
          <w:rFonts w:hint="default"/>
          <w:color w:val="auto"/>
          <w:lang w:val="en-US"/>
        </w:rPr>
        <w:t xml:space="preserve">the remaining issues for </w:t>
      </w:r>
      <w:r>
        <w:rPr>
          <w:rStyle w:val="153"/>
          <w:rFonts w:hint="eastAsia" w:eastAsia="宋体"/>
          <w:color w:val="auto"/>
          <w:lang w:val="en-US" w:eastAsia="zh-CN"/>
        </w:rPr>
        <w:t>joint channel e</w:t>
      </w:r>
      <w:r>
        <w:rPr>
          <w:rStyle w:val="153"/>
          <w:rFonts w:hint="eastAsia" w:eastAsia="宋体"/>
          <w:lang w:val="en-US" w:eastAsia="zh-CN"/>
        </w:rPr>
        <w:t>stimation for PUSCH</w:t>
      </w:r>
      <w:r>
        <w:rPr>
          <w:rFonts w:hint="eastAsia"/>
          <w:highlight w:val="none"/>
          <w:lang w:val="en-US" w:eastAsia="zh-CN"/>
        </w:rPr>
        <w:t>.</w:t>
      </w:r>
    </w:p>
    <w:p>
      <w:pPr>
        <w:pStyle w:val="2"/>
        <w:bidi w:val="0"/>
        <w:rPr>
          <w:rFonts w:hint="eastAsia"/>
          <w:lang w:val="en-US" w:eastAsia="zh-CN"/>
        </w:rPr>
      </w:pPr>
      <w:r>
        <w:rPr>
          <w:rFonts w:hint="eastAsia"/>
          <w:lang w:val="en-US" w:eastAsia="zh-CN"/>
        </w:rPr>
        <w:t>Discussion on event due to action of TPC command</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To enable joint channel estimation, the consistent transmission power should be kept within a time domain window. For the transmission within or across a TDW, the transmission power can only be adjusted by the group common TPC command. Regarding how to address the group common TPC command received during a TDW, the working assumption was achieved in RAN1#107-e as shown above.</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our view, it is better to prioritize power adjustment by TPC over joint channel estimation. If gNB is to boost the power by TPC, the gain from power boosting can be larger than the gain from joint channel estimation. If gNB is to choose to reduce the power due to the good channel conditions, performing joint channel estimation may not be necessary. So, taking the action of </w:t>
      </w:r>
      <w:r>
        <w:rPr>
          <w:rFonts w:hint="default" w:ascii="Times New Roman" w:hAnsi="Times New Roman" w:cs="Times New Roman"/>
          <w:sz w:val="20"/>
          <w:szCs w:val="20"/>
          <w:lang w:eastAsia="zh-CN"/>
        </w:rPr>
        <w:t>group common TPC commands</w:t>
      </w:r>
      <w:r>
        <w:rPr>
          <w:rFonts w:hint="default" w:ascii="Times New Roman" w:hAnsi="Times New Roman" w:cs="Times New Roman"/>
          <w:sz w:val="20"/>
          <w:szCs w:val="20"/>
          <w:lang w:val="en-US" w:eastAsia="zh-CN"/>
        </w:rPr>
        <w:t xml:space="preserve"> can contribute an event. On the other hand, this has been debated a lot before and some companies think it may cause frequent segmentation of TDW. In this sense, we are fine to confirm the working assumption. </w:t>
      </w:r>
    </w:p>
    <w:p>
      <w:pP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 xml:space="preserve">Regarding the FFS point, our view is that no </w:t>
      </w:r>
      <w:r>
        <w:rPr>
          <w:rFonts w:hint="default" w:ascii="Times New Roman" w:hAnsi="Times New Roman" w:eastAsia="宋体" w:cs="Times New Roman"/>
          <w:sz w:val="20"/>
          <w:szCs w:val="20"/>
        </w:rPr>
        <w:t>TPC command is expected to take effect during a configured TD</w:t>
      </w:r>
      <w:r>
        <w:rPr>
          <w:rFonts w:hint="default" w:ascii="Times New Roman" w:hAnsi="Times New Roman" w:cs="Times New Roman"/>
          <w:sz w:val="20"/>
          <w:szCs w:val="20"/>
          <w:lang w:val="en-US" w:eastAsia="zh-CN"/>
        </w:rPr>
        <w:t xml:space="preserve">W because TPC command should not contribute an event </w:t>
      </w:r>
      <w:r>
        <w:rPr>
          <w:rFonts w:hint="default" w:ascii="Times New Roman" w:hAnsi="Times New Roman" w:cs="Times New Roman"/>
          <w:sz w:val="20"/>
          <w:szCs w:val="20"/>
          <w:lang w:eastAsia="zh-CN"/>
        </w:rPr>
        <w:t>that violates power consistency and phase continuity</w:t>
      </w:r>
      <w:r>
        <w:rPr>
          <w:rFonts w:hint="default" w:ascii="Times New Roman" w:hAnsi="Times New Roman" w:cs="Times New Roman"/>
          <w:sz w:val="20"/>
          <w:szCs w:val="20"/>
          <w:lang w:val="en-US" w:eastAsia="zh-CN"/>
        </w:rPr>
        <w:t>. It can be removed.</w:t>
      </w:r>
    </w:p>
    <w:p>
      <w:pPr>
        <w:numPr>
          <w:ilvl w:val="0"/>
          <w:numId w:val="0"/>
        </w:numPr>
        <w:ind w:leftChars="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Based on the discussion above, we have the following proposal.</w:t>
      </w:r>
    </w:p>
    <w:p>
      <w:pPr>
        <w:pStyle w:val="114"/>
        <w:numPr>
          <w:ilvl w:val="-1"/>
          <w:numId w:val="0"/>
        </w:numPr>
        <w:spacing w:before="120" w:after="137" w:afterLines="50" w:line="280" w:lineRule="atLeast"/>
        <w:ind w:leftChars="0"/>
        <w:rPr>
          <w:rFonts w:hint="default" w:ascii="Times New Roman" w:hAnsi="Times New Roman" w:cs="Times New Roman"/>
          <w:i/>
          <w:iCs/>
          <w:sz w:val="20"/>
          <w:szCs w:val="20"/>
          <w:lang w:val="en-US" w:eastAsia="zh-CN"/>
        </w:rPr>
      </w:pPr>
      <w:r>
        <w:rPr>
          <w:rFonts w:hint="default" w:ascii="Times New Roman" w:hAnsi="Times New Roman" w:cs="Times New Roman"/>
          <w:b/>
          <w:bCs/>
          <w:i/>
          <w:iCs/>
          <w:sz w:val="20"/>
          <w:szCs w:val="20"/>
          <w:lang w:val="en-US" w:eastAsia="zh-CN"/>
        </w:rPr>
        <w:t xml:space="preserve">Proposal 1: </w:t>
      </w:r>
      <w:r>
        <w:rPr>
          <w:rFonts w:hint="default" w:ascii="Times New Roman" w:hAnsi="Times New Roman" w:cs="Times New Roman"/>
          <w:b w:val="0"/>
          <w:bCs w:val="0"/>
          <w:i/>
          <w:iCs/>
          <w:sz w:val="20"/>
          <w:szCs w:val="20"/>
          <w:lang w:val="en-US" w:eastAsia="zh-CN"/>
        </w:rPr>
        <w:t xml:space="preserve">The working assumption below is confirmed with deleting the FFS. </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0" w:hRule="atLeast"/>
        </w:trPr>
        <w:tc>
          <w:tcPr>
            <w:tcW w:w="9854" w:type="dxa"/>
          </w:tcPr>
          <w:p>
            <w:pPr>
              <w:keepNext w:val="0"/>
              <w:keepLines w:val="0"/>
              <w:pageBreakBefore w:val="0"/>
              <w:widowControl/>
              <w:kinsoku/>
              <w:wordWrap/>
              <w:topLinePunct w:val="0"/>
              <w:autoSpaceDE w:val="0"/>
              <w:autoSpaceDN w:val="0"/>
              <w:bidi w:val="0"/>
              <w:adjustRightInd w:val="0"/>
              <w:snapToGrid w:val="0"/>
              <w:spacing w:before="120" w:after="0" w:line="280" w:lineRule="atLeast"/>
              <w:rPr>
                <w:rFonts w:hint="default" w:ascii="Times New Roman" w:hAnsi="Times New Roman" w:cs="Times New Roman"/>
                <w:b/>
                <w:sz w:val="20"/>
                <w:szCs w:val="20"/>
                <w:highlight w:val="darkYellow"/>
              </w:rPr>
            </w:pPr>
            <w:r>
              <w:rPr>
                <w:rFonts w:hint="default" w:ascii="Times New Roman" w:hAnsi="Times New Roman" w:cs="Times New Roman"/>
                <w:b/>
                <w:sz w:val="20"/>
                <w:szCs w:val="20"/>
                <w:highlight w:val="darkYellow"/>
              </w:rPr>
              <w:t>Working assumption:</w:t>
            </w:r>
          </w:p>
          <w:p>
            <w:pPr>
              <w:pStyle w:val="114"/>
              <w:keepNext w:val="0"/>
              <w:keepLines w:val="0"/>
              <w:pageBreakBefore w:val="0"/>
              <w:widowControl/>
              <w:numPr>
                <w:ilvl w:val="0"/>
                <w:numId w:val="10"/>
              </w:numPr>
              <w:kinsoku/>
              <w:wordWrap/>
              <w:topLinePunct w:val="0"/>
              <w:autoSpaceDE w:val="0"/>
              <w:autoSpaceDN w:val="0"/>
              <w:bidi w:val="0"/>
              <w:adjustRightInd w:val="0"/>
              <w:snapToGrid w:val="0"/>
              <w:spacing w:before="120" w:after="0" w:line="259" w:lineRule="auto"/>
              <w:ind w:leftChars="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action of group common TPC commands with format 2_2 does not constitute an event that violates power consistency and phase continuity.</w:t>
            </w:r>
          </w:p>
          <w:p>
            <w:pPr>
              <w:pStyle w:val="114"/>
              <w:keepNext w:val="0"/>
              <w:keepLines w:val="0"/>
              <w:pageBreakBefore w:val="0"/>
              <w:widowControl/>
              <w:numPr>
                <w:ilvl w:val="1"/>
                <w:numId w:val="11"/>
              </w:numPr>
              <w:kinsoku/>
              <w:wordWrap/>
              <w:topLinePunct w:val="0"/>
              <w:autoSpaceDE w:val="0"/>
              <w:autoSpaceDN w:val="0"/>
              <w:bidi w:val="0"/>
              <w:adjustRightInd w:val="0"/>
              <w:snapToGrid w:val="0"/>
              <w:spacing w:before="120" w:after="0" w:line="280" w:lineRule="atLeast"/>
              <w:ind w:left="780" w:leftChars="0"/>
              <w:jc w:val="both"/>
              <w:rPr>
                <w:rFonts w:hint="default" w:ascii="Times New Roman" w:hAnsi="Times New Roman" w:cs="Times New Roman"/>
                <w:sz w:val="20"/>
                <w:szCs w:val="20"/>
              </w:rPr>
            </w:pPr>
            <w:r>
              <w:rPr>
                <w:rFonts w:hint="default" w:ascii="Times New Roman" w:hAnsi="Times New Roman" w:cs="Times New Roman"/>
                <w:sz w:val="20"/>
                <w:szCs w:val="20"/>
                <w:lang w:eastAsia="zh-CN"/>
              </w:rPr>
              <w:t xml:space="preserve">If UE is configured to </w:t>
            </w:r>
            <w:r>
              <w:rPr>
                <w:rFonts w:hint="default" w:ascii="Times New Roman" w:hAnsi="Times New Roman" w:cs="Times New Roman"/>
                <w:bCs/>
                <w:sz w:val="20"/>
                <w:szCs w:val="20"/>
              </w:rPr>
              <w:t>accumulate TPC commands,</w:t>
            </w:r>
          </w:p>
          <w:p>
            <w:pPr>
              <w:keepNext w:val="0"/>
              <w:keepLines w:val="0"/>
              <w:pageBreakBefore w:val="0"/>
              <w:widowControl/>
              <w:numPr>
                <w:ilvl w:val="2"/>
                <w:numId w:val="12"/>
              </w:numPr>
              <w:kinsoku/>
              <w:wordWrap/>
              <w:topLinePunct w:val="0"/>
              <w:autoSpaceDE w:val="0"/>
              <w:autoSpaceDN w:val="0"/>
              <w:bidi w:val="0"/>
              <w:adjustRightInd w:val="0"/>
              <w:snapToGrid w:val="0"/>
              <w:spacing w:before="120" w:after="0" w:line="280" w:lineRule="atLeast"/>
              <w:jc w:val="both"/>
              <w:rPr>
                <w:rFonts w:hint="default" w:ascii="Times New Roman" w:hAnsi="Times New Roman" w:eastAsia="宋体" w:cs="Times New Roman"/>
                <w:sz w:val="20"/>
                <w:szCs w:val="20"/>
              </w:rPr>
            </w:pPr>
            <w:r>
              <w:rPr>
                <w:rFonts w:hint="default" w:ascii="Times New Roman" w:hAnsi="Times New Roman" w:eastAsia="宋体" w:cs="Times New Roman"/>
                <w:sz w:val="20"/>
                <w:szCs w:val="20"/>
              </w:rPr>
              <w:t>If UE receives TPC commands that would take into effect during a configured TDW, UE accumulates TPC commands without taking effect during the current configured TDW. TPC commands take effect after the current configured TDW.</w:t>
            </w:r>
          </w:p>
          <w:p>
            <w:pPr>
              <w:pStyle w:val="114"/>
              <w:keepNext w:val="0"/>
              <w:keepLines w:val="0"/>
              <w:pageBreakBefore w:val="0"/>
              <w:widowControl/>
              <w:numPr>
                <w:ilvl w:val="1"/>
                <w:numId w:val="11"/>
              </w:numPr>
              <w:kinsoku/>
              <w:wordWrap/>
              <w:topLinePunct w:val="0"/>
              <w:autoSpaceDE w:val="0"/>
              <w:autoSpaceDN w:val="0"/>
              <w:bidi w:val="0"/>
              <w:adjustRightInd w:val="0"/>
              <w:snapToGrid w:val="0"/>
              <w:spacing w:before="120" w:after="0" w:line="280" w:lineRule="atLeast"/>
              <w:ind w:left="780" w:leftChars="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If UE is not configured to accumulate TPC commands</w:t>
            </w:r>
          </w:p>
          <w:p>
            <w:pPr>
              <w:keepNext w:val="0"/>
              <w:keepLines w:val="0"/>
              <w:pageBreakBefore w:val="0"/>
              <w:widowControl/>
              <w:numPr>
                <w:ilvl w:val="2"/>
                <w:numId w:val="12"/>
              </w:numPr>
              <w:kinsoku/>
              <w:wordWrap/>
              <w:topLinePunct w:val="0"/>
              <w:autoSpaceDE w:val="0"/>
              <w:autoSpaceDN w:val="0"/>
              <w:bidi w:val="0"/>
              <w:adjustRightInd w:val="0"/>
              <w:snapToGrid w:val="0"/>
              <w:spacing w:before="120" w:after="0" w:line="280" w:lineRule="atLeast"/>
              <w:jc w:val="both"/>
              <w:rPr>
                <w:rFonts w:hint="default" w:ascii="Times New Roman" w:hAnsi="Times New Roman" w:cs="Times New Roman"/>
                <w:i/>
                <w:iCs/>
                <w:sz w:val="20"/>
                <w:szCs w:val="20"/>
                <w:vertAlign w:val="baseline"/>
                <w:lang w:val="en-US" w:eastAsia="zh-CN"/>
              </w:rPr>
            </w:pPr>
            <w:r>
              <w:rPr>
                <w:rFonts w:hint="default" w:ascii="Times New Roman" w:hAnsi="Times New Roman" w:eastAsia="宋体" w:cs="Times New Roman"/>
                <w:sz w:val="20"/>
                <w:szCs w:val="20"/>
              </w:rPr>
              <w:t xml:space="preserve">the last TPC command that would take effect within a configured TDW supersedes all previous TPC commands that take effect within that configured TDW and only the last TPC command is applied by the UE after the current configured TDW. </w:t>
            </w:r>
          </w:p>
          <w:p>
            <w:pPr>
              <w:keepNext w:val="0"/>
              <w:keepLines w:val="0"/>
              <w:pageBreakBefore w:val="0"/>
              <w:widowControl/>
              <w:numPr>
                <w:ilvl w:val="2"/>
                <w:numId w:val="12"/>
              </w:numPr>
              <w:kinsoku/>
              <w:wordWrap/>
              <w:topLinePunct w:val="0"/>
              <w:autoSpaceDE w:val="0"/>
              <w:autoSpaceDN w:val="0"/>
              <w:bidi w:val="0"/>
              <w:adjustRightInd w:val="0"/>
              <w:snapToGrid w:val="0"/>
              <w:spacing w:before="120" w:after="0" w:line="280" w:lineRule="atLeast"/>
              <w:jc w:val="both"/>
              <w:rPr>
                <w:rFonts w:hint="default" w:ascii="Times New Roman" w:hAnsi="Times New Roman" w:cs="Times New Roman"/>
                <w:i/>
                <w:iCs/>
                <w:sz w:val="20"/>
                <w:szCs w:val="20"/>
                <w:vertAlign w:val="baseline"/>
                <w:lang w:val="en-US" w:eastAsia="zh-CN"/>
              </w:rPr>
            </w:pPr>
            <w:r>
              <w:rPr>
                <w:rFonts w:hint="default" w:ascii="Times New Roman" w:hAnsi="Times New Roman" w:eastAsia="宋体" w:cs="Times New Roman"/>
                <w:strike/>
                <w:dstrike w:val="0"/>
                <w:sz w:val="20"/>
                <w:szCs w:val="20"/>
              </w:rPr>
              <w:t>FFS: no more than 1 TPC command is expected to take effect during a configured TDW.</w:t>
            </w:r>
          </w:p>
        </w:tc>
      </w:tr>
    </w:tbl>
    <w:p>
      <w:pPr>
        <w:bidi w:val="0"/>
        <w:rPr>
          <w:rFonts w:hint="default" w:ascii="Times New Roman" w:hAnsi="Times New Roman" w:cs="Times New Roman"/>
          <w:i/>
          <w:iCs/>
          <w:sz w:val="20"/>
          <w:szCs w:val="20"/>
          <w:lang w:val="en-US" w:eastAsia="zh-CN"/>
        </w:rPr>
      </w:pP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jc w:val="both"/>
        <w:textAlignment w:val="baseline"/>
        <w:rPr>
          <w:rFonts w:hint="default" w:ascii="Times New Roman" w:hAnsi="Times New Roman" w:cs="Times New Roman"/>
          <w:i w:val="0"/>
          <w:iCs w:val="0"/>
          <w:sz w:val="20"/>
          <w:szCs w:val="20"/>
          <w:lang w:val="en-US" w:eastAsia="zh-CN"/>
        </w:rPr>
      </w:pPr>
      <w:r>
        <w:rPr>
          <w:rFonts w:hint="default" w:ascii="Times New Roman" w:hAnsi="Times New Roman" w:cs="Times New Roman"/>
          <w:i w:val="0"/>
          <w:iCs w:val="0"/>
          <w:sz w:val="20"/>
          <w:szCs w:val="20"/>
          <w:lang w:val="en-US" w:eastAsia="zh-CN"/>
        </w:rPr>
        <w:t>With above working assumption to be confirmed, the most critical i</w:t>
      </w:r>
      <w:bookmarkStart w:id="5" w:name="_GoBack"/>
      <w:r>
        <w:rPr>
          <w:rFonts w:hint="default" w:ascii="Times New Roman" w:hAnsi="Times New Roman" w:cs="Times New Roman"/>
          <w:i w:val="0"/>
          <w:iCs w:val="0"/>
          <w:sz w:val="20"/>
          <w:szCs w:val="20"/>
          <w:lang w:val="en-US" w:eastAsia="zh-CN"/>
        </w:rPr>
        <w:t>ssue left is about how to formulate above rules into specification. In our companion contribution in [3], interpretations on Rel-15</w:t>
      </w:r>
      <w:r>
        <w:rPr>
          <w:rFonts w:hint="default" w:cs="Times New Roman"/>
          <w:i w:val="0"/>
          <w:iCs w:val="0"/>
          <w:sz w:val="20"/>
          <w:szCs w:val="20"/>
          <w:lang w:val="en-US" w:eastAsia="zh-CN"/>
        </w:rPr>
        <w:t>/16</w:t>
      </w:r>
      <w:r>
        <w:rPr>
          <w:rFonts w:hint="default" w:ascii="Times New Roman" w:hAnsi="Times New Roman" w:cs="Times New Roman"/>
          <w:i w:val="0"/>
          <w:iCs w:val="0"/>
          <w:sz w:val="20"/>
          <w:szCs w:val="20"/>
          <w:lang w:val="en-US" w:eastAsia="zh-CN"/>
        </w:rPr>
        <w:t xml:space="preserve"> rules for power control adjustment due to TPC are discussed, and our understanding is copied below. </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114"/>
              <w:numPr>
                <w:ilvl w:val="0"/>
                <w:numId w:val="13"/>
              </w:numPr>
              <w:spacing w:before="120" w:line="280" w:lineRule="atLeast"/>
              <w:ind w:firstLineChars="0"/>
              <w:rPr>
                <w:rFonts w:hint="default" w:ascii="Times New Roman" w:hAnsi="Times New Roman" w:cs="Times New Roman"/>
                <w:bCs/>
                <w:sz w:val="20"/>
                <w:szCs w:val="20"/>
                <w:lang w:val="en-GB"/>
              </w:rPr>
            </w:pPr>
            <w:r>
              <w:rPr>
                <w:rFonts w:hint="default" w:ascii="Times New Roman" w:hAnsi="Times New Roman" w:eastAsia="宋体" w:cs="Times New Roman"/>
                <w:bCs/>
                <w:sz w:val="20"/>
                <w:szCs w:val="20"/>
                <w:lang w:val="en-US" w:eastAsia="zh-CN"/>
              </w:rPr>
              <w:t>A</w:t>
            </w:r>
            <w:r>
              <w:rPr>
                <w:rFonts w:hint="default" w:ascii="Times New Roman" w:hAnsi="Times New Roman" w:cs="Times New Roman"/>
                <w:bCs/>
                <w:sz w:val="20"/>
                <w:szCs w:val="20"/>
                <w:lang w:val="en-GB"/>
              </w:rPr>
              <w:t>bsolute TPC command is supported for group common TPC with DCI format 2_2 for Rel-15/16.</w:t>
            </w:r>
          </w:p>
          <w:p>
            <w:pPr>
              <w:pStyle w:val="114"/>
              <w:widowControl w:val="0"/>
              <w:numPr>
                <w:ilvl w:val="1"/>
                <w:numId w:val="14"/>
              </w:numPr>
              <w:autoSpaceDE/>
              <w:autoSpaceDN/>
              <w:adjustRightInd/>
              <w:snapToGrid/>
              <w:spacing w:before="120" w:after="160" w:line="280" w:lineRule="atLeast"/>
              <w:ind w:left="780" w:firstLineChars="0"/>
              <w:rPr>
                <w:rFonts w:hint="default" w:ascii="Times New Roman" w:hAnsi="Times New Roman" w:cs="Times New Roman"/>
                <w:sz w:val="20"/>
                <w:szCs w:val="20"/>
              </w:rPr>
            </w:pPr>
            <w:r>
              <w:rPr>
                <w:rFonts w:hint="default" w:ascii="Times New Roman" w:hAnsi="Times New Roman" w:eastAsia="宋体" w:cs="Times New Roman"/>
                <w:sz w:val="20"/>
                <w:szCs w:val="20"/>
                <w:lang w:val="en-US" w:eastAsia="zh-CN"/>
              </w:rPr>
              <w:t>T</w:t>
            </w:r>
            <w:r>
              <w:rPr>
                <w:rFonts w:hint="default" w:ascii="Times New Roman" w:hAnsi="Times New Roman" w:cs="Times New Roman"/>
                <w:sz w:val="20"/>
                <w:szCs w:val="20"/>
                <w:lang w:val="en-GB"/>
              </w:rPr>
              <w:t>he timeline of absolute TPC command follows the accumulate</w:t>
            </w:r>
            <w:r>
              <w:rPr>
                <w:rFonts w:hint="default" w:ascii="Times New Roman" w:hAnsi="Times New Roman" w:cs="Times New Roman"/>
                <w:sz w:val="20"/>
                <w:szCs w:val="20"/>
              </w:rPr>
              <w:t xml:space="preserve"> TPC command.</w:t>
            </w:r>
          </w:p>
          <w:p>
            <w:pPr>
              <w:pStyle w:val="114"/>
              <w:numPr>
                <w:ilvl w:val="0"/>
                <w:numId w:val="13"/>
              </w:numPr>
              <w:spacing w:before="120" w:line="280" w:lineRule="atLeast"/>
              <w:ind w:firstLineChars="0"/>
              <w:rPr>
                <w:rFonts w:hint="default" w:ascii="Times New Roman" w:hAnsi="Times New Roman" w:cs="Times New Roman"/>
                <w:bCs/>
                <w:sz w:val="20"/>
                <w:szCs w:val="20"/>
                <w:lang w:val="en-GB"/>
              </w:rPr>
            </w:pPr>
            <w:r>
              <w:rPr>
                <w:rFonts w:hint="default" w:ascii="Times New Roman" w:hAnsi="Times New Roman" w:eastAsia="宋体" w:cs="Times New Roman"/>
                <w:bCs/>
                <w:sz w:val="20"/>
                <w:szCs w:val="20"/>
                <w:lang w:val="en-US" w:eastAsia="zh-CN"/>
              </w:rPr>
              <w:t>T</w:t>
            </w:r>
            <w:r>
              <w:rPr>
                <w:rFonts w:hint="default" w:ascii="Times New Roman" w:hAnsi="Times New Roman" w:cs="Times New Roman"/>
                <w:bCs/>
                <w:sz w:val="20"/>
                <w:szCs w:val="20"/>
                <w:lang w:val="en-GB"/>
              </w:rPr>
              <w:t xml:space="preserve">he definition of </w:t>
            </w:r>
            <m:oMath>
              <m:sSub>
                <m:sSubPr>
                  <m:ctrlPr>
                    <w:rPr>
                      <w:rFonts w:hint="default" w:ascii="Cambria Math" w:hAnsi="Cambria Math" w:cs="Times New Roman"/>
                      <w:bCs/>
                      <w:sz w:val="20"/>
                      <w:szCs w:val="20"/>
                      <w:lang w:val="en-GB"/>
                    </w:rPr>
                  </m:ctrlPr>
                </m:sSubPr>
                <m:e>
                  <m:r>
                    <w:rPr>
                      <w:rFonts w:hint="default" w:ascii="Cambria Math" w:hAnsi="Cambria Math" w:cs="Times New Roman"/>
                      <w:sz w:val="20"/>
                      <w:szCs w:val="20"/>
                      <w:lang w:val="en-GB"/>
                    </w:rPr>
                    <m:t>K</m:t>
                  </m:r>
                  <m:ctrlPr>
                    <w:rPr>
                      <w:rFonts w:hint="default" w:ascii="Cambria Math" w:hAnsi="Cambria Math" w:cs="Times New Roman"/>
                      <w:bCs/>
                      <w:sz w:val="20"/>
                      <w:szCs w:val="20"/>
                      <w:lang w:val="en-GB"/>
                    </w:rPr>
                  </m:ctrlPr>
                </m:e>
                <m:sub>
                  <m:r>
                    <m:rPr>
                      <m:sty m:val="p"/>
                    </m:rPr>
                    <w:rPr>
                      <w:rFonts w:hint="default" w:ascii="Cambria Math" w:hAnsi="Cambria Math" w:cs="Times New Roman"/>
                      <w:sz w:val="20"/>
                      <w:szCs w:val="20"/>
                      <w:lang w:val="en-GB"/>
                    </w:rPr>
                    <m:t>PUSCH</m:t>
                  </m:r>
                  <m:ctrlPr>
                    <w:rPr>
                      <w:rFonts w:hint="default" w:ascii="Cambria Math" w:hAnsi="Cambria Math" w:cs="Times New Roman"/>
                      <w:bCs/>
                      <w:sz w:val="20"/>
                      <w:szCs w:val="20"/>
                      <w:lang w:val="en-GB"/>
                    </w:rPr>
                  </m:ctrlPr>
                </m:sub>
              </m:sSub>
              <m:r>
                <m:rPr>
                  <m:sty m:val="p"/>
                </m:rPr>
                <w:rPr>
                  <w:rFonts w:hint="default" w:ascii="Cambria Math" w:hAnsi="Cambria Math" w:cs="Times New Roman"/>
                  <w:sz w:val="20"/>
                  <w:szCs w:val="20"/>
                  <w:lang w:val="en-GB"/>
                </w:rPr>
                <m:t>(</m:t>
              </m:r>
              <m:r>
                <w:rPr>
                  <w:rFonts w:hint="default" w:ascii="Cambria Math" w:hAnsi="Cambria Math" w:cs="Times New Roman"/>
                  <w:sz w:val="20"/>
                  <w:szCs w:val="20"/>
                  <w:lang w:val="en-GB"/>
                </w:rPr>
                <m:t>i</m:t>
              </m:r>
              <m:r>
                <m:rPr>
                  <m:sty m:val="p"/>
                </m:rPr>
                <w:rPr>
                  <w:rFonts w:hint="default" w:ascii="Cambria Math" w:hAnsi="Cambria Math" w:cs="Times New Roman"/>
                  <w:sz w:val="20"/>
                  <w:szCs w:val="20"/>
                  <w:lang w:val="en-GB"/>
                </w:rPr>
                <m:t>)</m:t>
              </m:r>
            </m:oMath>
            <w:r>
              <w:rPr>
                <w:rFonts w:hint="default" w:ascii="Times New Roman" w:hAnsi="Times New Roman" w:cs="Times New Roman"/>
                <w:bCs/>
                <w:sz w:val="20"/>
                <w:szCs w:val="20"/>
                <w:lang w:val="en-GB"/>
              </w:rPr>
              <w:t xml:space="preserve"> for DG-PUSCH in TS 38.214 for Rel-15/16 </w:t>
            </w:r>
            <w:r>
              <w:rPr>
                <w:rFonts w:hint="default" w:ascii="Times New Roman" w:hAnsi="Times New Roman" w:eastAsia="宋体" w:cs="Times New Roman"/>
                <w:bCs/>
                <w:sz w:val="20"/>
                <w:szCs w:val="20"/>
                <w:lang w:val="en-US" w:eastAsia="zh-CN"/>
              </w:rPr>
              <w:t>follows Interpretation 1 below</w:t>
            </w:r>
            <w:r>
              <w:rPr>
                <w:rFonts w:hint="default" w:ascii="Times New Roman" w:hAnsi="Times New Roman" w:cs="Times New Roman"/>
                <w:bCs/>
                <w:sz w:val="20"/>
                <w:szCs w:val="20"/>
                <w:lang w:val="en-GB"/>
              </w:rPr>
              <w:t>.</w:t>
            </w:r>
          </w:p>
          <w:p>
            <w:pPr>
              <w:pStyle w:val="114"/>
              <w:widowControl w:val="0"/>
              <w:numPr>
                <w:ilvl w:val="1"/>
                <w:numId w:val="14"/>
              </w:numPr>
              <w:autoSpaceDE/>
              <w:autoSpaceDN/>
              <w:adjustRightInd/>
              <w:snapToGrid/>
              <w:spacing w:before="120" w:after="160" w:line="280" w:lineRule="atLeast"/>
              <w:ind w:left="780" w:firstLineChars="0"/>
              <w:rPr>
                <w:rFonts w:hint="default" w:ascii="Times New Roman" w:hAnsi="Times New Roman" w:cs="Times New Roman"/>
                <w:bCs/>
                <w:sz w:val="20"/>
                <w:szCs w:val="20"/>
                <w:lang w:val="en-GB"/>
              </w:rPr>
            </w:pPr>
            <w:r>
              <w:rPr>
                <w:rFonts w:hint="default" w:ascii="Times New Roman" w:hAnsi="Times New Roman" w:cs="Times New Roman"/>
                <w:b/>
                <w:sz w:val="20"/>
                <w:szCs w:val="20"/>
                <w:u w:val="single"/>
              </w:rPr>
              <w:t>Interpretation 1:</w:t>
            </w:r>
            <w:r>
              <w:rPr>
                <w:rFonts w:hint="default" w:ascii="Times New Roman" w:hAnsi="Times New Roman" w:cs="Times New Roman"/>
                <w:sz w:val="20"/>
                <w:szCs w:val="20"/>
              </w:rPr>
              <w:t xml:space="preserve"> </w:t>
            </w:r>
            <m:oMath>
              <m:sSub>
                <m:sSubPr>
                  <m:ctrlPr>
                    <w:rPr>
                      <w:rFonts w:hint="default" w:ascii="Cambria Math" w:hAnsi="Cambria Math" w:cs="Times New Roman"/>
                      <w:sz w:val="20"/>
                      <w:szCs w:val="20"/>
                    </w:rPr>
                  </m:ctrlPr>
                </m:sSubPr>
                <m:e>
                  <m:r>
                    <w:rPr>
                      <w:rFonts w:hint="default" w:ascii="Cambria Math" w:hAnsi="Cambria Math" w:cs="Times New Roman"/>
                      <w:sz w:val="20"/>
                      <w:szCs w:val="20"/>
                    </w:rPr>
                    <m:t>K</m:t>
                  </m:r>
                  <m:ctrlPr>
                    <w:rPr>
                      <w:rFonts w:hint="default" w:ascii="Cambria Math" w:hAnsi="Cambria Math" w:cs="Times New Roman"/>
                      <w:sz w:val="20"/>
                      <w:szCs w:val="20"/>
                    </w:rPr>
                  </m:ctrlPr>
                </m:e>
                <m:sub>
                  <m:r>
                    <m:rPr>
                      <m:sty m:val="p"/>
                    </m:rPr>
                    <w:rPr>
                      <w:rFonts w:hint="default" w:ascii="Cambria Math" w:hAnsi="Cambria Math" w:cs="Times New Roman"/>
                      <w:sz w:val="20"/>
                      <w:szCs w:val="20"/>
                    </w:rPr>
                    <m:t>PUSCH</m:t>
                  </m:r>
                  <m:ctrlPr>
                    <w:rPr>
                      <w:rFonts w:hint="default" w:ascii="Cambria Math" w:hAnsi="Cambria Math" w:cs="Times New Roman"/>
                      <w:sz w:val="20"/>
                      <w:szCs w:val="20"/>
                    </w:rPr>
                  </m:ctrlPr>
                </m:sub>
              </m:sSub>
              <m:r>
                <m:rPr>
                  <m:sty m:val="p"/>
                </m:rPr>
                <w:rPr>
                  <w:rFonts w:hint="default" w:ascii="Cambria Math" w:hAnsi="Cambria Math" w:cs="Times New Roman"/>
                  <w:sz w:val="20"/>
                  <w:szCs w:val="20"/>
                </w:rPr>
                <m:t>(</m:t>
              </m:r>
              <m:r>
                <w:rPr>
                  <w:rFonts w:hint="default" w:ascii="Cambria Math" w:hAnsi="Cambria Math" w:cs="Times New Roman"/>
                  <w:sz w:val="20"/>
                  <w:szCs w:val="20"/>
                </w:rPr>
                <m:t>i</m:t>
              </m:r>
              <m:r>
                <m:rPr>
                  <m:sty m:val="p"/>
                </m:rPr>
                <w:rPr>
                  <w:rFonts w:hint="default" w:ascii="Cambria Math" w:hAnsi="Cambria Math" w:cs="Times New Roman"/>
                  <w:sz w:val="20"/>
                  <w:szCs w:val="20"/>
                </w:rPr>
                <m:t>)</m:t>
              </m:r>
            </m:oMath>
            <w:r>
              <w:rPr>
                <w:rFonts w:hint="default" w:ascii="Times New Roman" w:hAnsi="Times New Roman" w:cs="Times New Roman"/>
                <w:sz w:val="20"/>
                <w:szCs w:val="20"/>
              </w:rPr>
              <w:t xml:space="preserve"> is defined as the number of OFDM symbols after a last symbol of a corresponding PDCCH reception and before a first symbol of the PUSCH transmission occasion i. With this interpretation, value of </w:t>
            </w:r>
            <m:oMath>
              <m:sSub>
                <m:sSubPr>
                  <m:ctrlPr>
                    <w:rPr>
                      <w:rFonts w:hint="default" w:ascii="Cambria Math" w:hAnsi="Cambria Math" w:cs="Times New Roman"/>
                      <w:sz w:val="20"/>
                      <w:szCs w:val="20"/>
                    </w:rPr>
                  </m:ctrlPr>
                </m:sSubPr>
                <m:e>
                  <m:r>
                    <w:rPr>
                      <w:rFonts w:hint="default" w:ascii="Cambria Math" w:hAnsi="Cambria Math" w:cs="Times New Roman"/>
                      <w:sz w:val="20"/>
                      <w:szCs w:val="20"/>
                    </w:rPr>
                    <m:t>K</m:t>
                  </m:r>
                  <m:ctrlPr>
                    <w:rPr>
                      <w:rFonts w:hint="default" w:ascii="Cambria Math" w:hAnsi="Cambria Math" w:cs="Times New Roman"/>
                      <w:sz w:val="20"/>
                      <w:szCs w:val="20"/>
                    </w:rPr>
                  </m:ctrlPr>
                </m:e>
                <m:sub>
                  <m:r>
                    <m:rPr>
                      <m:sty m:val="p"/>
                    </m:rPr>
                    <w:rPr>
                      <w:rFonts w:hint="default" w:ascii="Cambria Math" w:hAnsi="Cambria Math" w:cs="Times New Roman"/>
                      <w:sz w:val="20"/>
                      <w:szCs w:val="20"/>
                    </w:rPr>
                    <m:t>PUSCH</m:t>
                  </m:r>
                  <m:ctrlPr>
                    <w:rPr>
                      <w:rFonts w:hint="default" w:ascii="Cambria Math" w:hAnsi="Cambria Math" w:cs="Times New Roman"/>
                      <w:sz w:val="20"/>
                      <w:szCs w:val="20"/>
                    </w:rPr>
                  </m:ctrlPr>
                </m:sub>
              </m:sSub>
              <m:r>
                <m:rPr>
                  <m:sty m:val="p"/>
                </m:rPr>
                <w:rPr>
                  <w:rFonts w:hint="default" w:ascii="Cambria Math" w:hAnsi="Cambria Math" w:cs="Times New Roman"/>
                  <w:sz w:val="20"/>
                  <w:szCs w:val="20"/>
                </w:rPr>
                <m:t>(</m:t>
              </m:r>
              <m:r>
                <w:rPr>
                  <w:rFonts w:hint="default" w:ascii="Cambria Math" w:hAnsi="Cambria Math" w:cs="Times New Roman"/>
                  <w:sz w:val="20"/>
                  <w:szCs w:val="20"/>
                </w:rPr>
                <m:t>i</m:t>
              </m:r>
              <m:r>
                <m:rPr>
                  <m:sty m:val="p"/>
                </m:rPr>
                <w:rPr>
                  <w:rFonts w:hint="default" w:ascii="Cambria Math" w:hAnsi="Cambria Math" w:cs="Times New Roman"/>
                  <w:sz w:val="20"/>
                  <w:szCs w:val="20"/>
                </w:rPr>
                <m:t>)</m:t>
              </m:r>
            </m:oMath>
            <w:r>
              <w:rPr>
                <w:rFonts w:hint="default" w:ascii="Times New Roman" w:hAnsi="Times New Roman" w:cs="Times New Roman"/>
                <w:sz w:val="20"/>
                <w:szCs w:val="20"/>
              </w:rPr>
              <w:t xml:space="preserve"> for a PUSCH transmission occasion is different from the one for another PUSCH transmission occasion among the same set of PUSCH repetitions for a TB.</w:t>
            </w:r>
          </w:p>
          <w:p>
            <w:pPr>
              <w:pStyle w:val="114"/>
              <w:numPr>
                <w:ilvl w:val="0"/>
                <w:numId w:val="13"/>
              </w:numPr>
              <w:spacing w:before="120" w:line="280" w:lineRule="atLeast"/>
              <w:ind w:firstLineChars="0"/>
              <w:rPr>
                <w:rFonts w:hint="default" w:ascii="Times New Roman" w:hAnsi="Times New Roman" w:cs="Times New Roman"/>
                <w:i w:val="0"/>
                <w:iCs w:val="0"/>
                <w:sz w:val="20"/>
                <w:szCs w:val="20"/>
                <w:vertAlign w:val="baseline"/>
                <w:lang w:val="en-US" w:eastAsia="zh-CN"/>
              </w:rPr>
            </w:pPr>
            <w:r>
              <w:rPr>
                <w:rFonts w:hint="default" w:ascii="Times New Roman" w:hAnsi="Times New Roman" w:eastAsia="宋体" w:cs="Times New Roman"/>
                <w:bCs/>
                <w:sz w:val="20"/>
                <w:szCs w:val="20"/>
                <w:lang w:val="en-US" w:eastAsia="zh-CN"/>
              </w:rPr>
              <w:t>Interpretation 1 should also applied to the power control for the PUCCH repetition associated with a DCI.</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jc w:val="both"/>
        <w:textAlignment w:val="baseline"/>
        <w:rPr>
          <w:rFonts w:hint="default" w:ascii="Times New Roman" w:hAnsi="Times New Roman" w:cs="Times New Roman"/>
          <w:i/>
          <w:iCs/>
          <w:sz w:val="20"/>
          <w:szCs w:val="20"/>
          <w:lang w:val="en-US" w:eastAsia="zh-CN"/>
        </w:rPr>
      </w:pPr>
      <w:r>
        <w:rPr>
          <w:rFonts w:hint="default" w:ascii="Times New Roman" w:hAnsi="Times New Roman" w:cs="Times New Roman"/>
          <w:i w:val="0"/>
          <w:iCs w:val="0"/>
          <w:sz w:val="20"/>
          <w:szCs w:val="20"/>
          <w:lang w:val="en-US" w:eastAsia="zh-CN"/>
        </w:rPr>
        <w:t xml:space="preserve">   </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With above understanding, for Rel-15/16 legacy power control procedure, the action of group common TPC command with DCI format 2_2 will NOT break the power consistency for DG-PUSCH repetition. This could be further reused in Rel-17. </w:t>
      </w:r>
    </w:p>
    <w:p>
      <w:pPr>
        <w:pStyle w:val="114"/>
        <w:keepNext w:val="0"/>
        <w:keepLines w:val="0"/>
        <w:pageBreakBefore w:val="0"/>
        <w:widowControl/>
        <w:numPr>
          <w:ilvl w:val="0"/>
          <w:numId w:val="0"/>
        </w:numPr>
        <w:kinsoku/>
        <w:wordWrap/>
        <w:topLinePunct w:val="0"/>
        <w:autoSpaceDE/>
        <w:autoSpaceDN/>
        <w:bidi w:val="0"/>
        <w:adjustRightInd/>
        <w:snapToGrid w:val="0"/>
        <w:spacing w:before="120" w:after="120" w:line="240" w:lineRule="auto"/>
        <w:ind w:leftChars="0"/>
        <w:rPr>
          <w:rFonts w:hint="default" w:ascii="Times New Roman" w:hAnsi="Times New Roman" w:cs="Times New Roman"/>
          <w:i/>
          <w:iCs/>
          <w:sz w:val="20"/>
          <w:szCs w:val="20"/>
          <w:lang w:val="en-US" w:eastAsia="zh-CN"/>
        </w:rPr>
      </w:pPr>
      <w:r>
        <w:rPr>
          <w:rFonts w:hint="default" w:ascii="Times New Roman" w:hAnsi="Times New Roman" w:eastAsia="宋体" w:cs="Times New Roman"/>
          <w:b/>
          <w:i/>
          <w:iCs/>
          <w:sz w:val="20"/>
          <w:szCs w:val="20"/>
          <w:lang w:val="en-US" w:eastAsia="zh-CN"/>
        </w:rPr>
        <w:t xml:space="preserve">Proposal 2: </w:t>
      </w:r>
      <w:r>
        <w:rPr>
          <w:rFonts w:hint="default" w:ascii="Times New Roman" w:hAnsi="Times New Roman" w:eastAsia="宋体" w:cs="Times New Roman"/>
          <w:b w:val="0"/>
          <w:bCs/>
          <w:i/>
          <w:iCs/>
          <w:sz w:val="20"/>
          <w:szCs w:val="20"/>
          <w:lang w:val="en-US" w:eastAsia="zh-CN"/>
        </w:rPr>
        <w:t>For DG PUSCH or PUCCH associated with a DCI, Keep Rel-15/16 legacy power control procedure.</w:t>
      </w:r>
    </w:p>
    <w:p>
      <w:pPr>
        <w:keepNext w:val="0"/>
        <w:keepLines w:val="0"/>
        <w:pageBreakBefore w:val="0"/>
        <w:widowControl/>
        <w:numPr>
          <w:ilvl w:val="0"/>
          <w:numId w:val="0"/>
        </w:numPr>
        <w:kinsoku/>
        <w:wordWrap/>
        <w:overflowPunct w:val="0"/>
        <w:topLinePunct w:val="0"/>
        <w:autoSpaceDE w:val="0"/>
        <w:autoSpaceDN w:val="0"/>
        <w:bidi w:val="0"/>
        <w:adjustRightInd w:val="0"/>
        <w:snapToGrid w:val="0"/>
        <w:spacing w:before="120" w:after="120"/>
        <w:jc w:val="both"/>
        <w:textAlignment w:val="baseline"/>
        <w:rPr>
          <w:rFonts w:hint="default" w:ascii="Times New Roman" w:hAnsi="Times New Roman" w:cs="Times New Roman"/>
          <w:i w:val="0"/>
          <w:iCs w:val="0"/>
          <w:sz w:val="20"/>
          <w:szCs w:val="20"/>
          <w:lang w:val="en-US" w:eastAsia="zh-CN"/>
        </w:rPr>
      </w:pPr>
      <w:r>
        <w:rPr>
          <w:rFonts w:hint="default" w:ascii="Times New Roman" w:hAnsi="Times New Roman" w:cs="Times New Roman"/>
          <w:i w:val="0"/>
          <w:iCs w:val="0"/>
          <w:sz w:val="20"/>
          <w:szCs w:val="20"/>
          <w:lang w:val="en-US" w:eastAsia="zh-CN"/>
        </w:rPr>
        <w:t>For CG PUSCH, the latest FL proposal in the last round in [</w:t>
      </w:r>
      <w:r>
        <w:rPr>
          <w:rFonts w:hint="default" w:cs="Times New Roman"/>
          <w:i w:val="0"/>
          <w:iCs w:val="0"/>
          <w:sz w:val="20"/>
          <w:szCs w:val="20"/>
          <w:lang w:val="en-US" w:eastAsia="zh-CN"/>
        </w:rPr>
        <w:t>2</w:t>
      </w:r>
      <w:r>
        <w:rPr>
          <w:rFonts w:hint="default" w:ascii="Times New Roman" w:hAnsi="Times New Roman" w:cs="Times New Roman"/>
          <w:i w:val="0"/>
          <w:iCs w:val="0"/>
          <w:sz w:val="20"/>
          <w:szCs w:val="20"/>
          <w:lang w:val="en-US" w:eastAsia="zh-CN"/>
        </w:rPr>
        <w:t xml:space="preserve">] is straightforward and we are fine with it. </w:t>
      </w:r>
    </w:p>
    <w:p>
      <w:pPr>
        <w:widowControl/>
        <w:numPr>
          <w:ilvl w:val="0"/>
          <w:numId w:val="0"/>
        </w:numPr>
        <w:autoSpaceDE w:val="0"/>
        <w:autoSpaceDN w:val="0"/>
        <w:adjustRightInd w:val="0"/>
        <w:snapToGrid w:val="0"/>
        <w:spacing w:after="120"/>
        <w:ind w:leftChars="0"/>
        <w:rPr>
          <w:rFonts w:hint="default" w:ascii="Times New Roman" w:hAnsi="Times New Roman" w:cs="Times New Roman"/>
          <w:b/>
          <w:i/>
          <w:iCs/>
          <w:color w:val="auto"/>
          <w:sz w:val="20"/>
          <w:szCs w:val="20"/>
        </w:rPr>
      </w:pPr>
      <w:r>
        <w:rPr>
          <w:rFonts w:hint="default" w:ascii="Times New Roman" w:hAnsi="Times New Roman" w:eastAsia="宋体" w:cs="Times New Roman"/>
          <w:b/>
          <w:i/>
          <w:iCs/>
          <w:sz w:val="20"/>
          <w:szCs w:val="20"/>
          <w:lang w:val="en-US" w:eastAsia="zh-CN"/>
        </w:rPr>
        <w:t xml:space="preserve">Proposal </w:t>
      </w:r>
      <w:r>
        <w:rPr>
          <w:rFonts w:hint="default" w:ascii="Times New Roman" w:hAnsi="Times New Roman" w:cs="Times New Roman"/>
          <w:b/>
          <w:i/>
          <w:iCs/>
          <w:sz w:val="20"/>
          <w:szCs w:val="20"/>
          <w:lang w:val="en-US" w:eastAsia="zh-CN"/>
        </w:rPr>
        <w:t>3</w:t>
      </w:r>
      <w:r>
        <w:rPr>
          <w:rFonts w:hint="default" w:ascii="Times New Roman" w:hAnsi="Times New Roman" w:eastAsia="宋体" w:cs="Times New Roman"/>
          <w:b/>
          <w:i/>
          <w:iCs/>
          <w:sz w:val="20"/>
          <w:szCs w:val="20"/>
          <w:lang w:val="en-US" w:eastAsia="zh-CN"/>
        </w:rPr>
        <w:t xml:space="preserve">: </w:t>
      </w:r>
      <w:r>
        <w:rPr>
          <w:rFonts w:hint="default" w:ascii="Times New Roman" w:hAnsi="Times New Roman" w:cs="Times New Roman"/>
          <w:i/>
          <w:iCs/>
          <w:sz w:val="20"/>
          <w:szCs w:val="20"/>
        </w:rPr>
        <w:t>For</w:t>
      </w:r>
      <w:r>
        <w:rPr>
          <w:rFonts w:hint="default" w:ascii="Times New Roman" w:hAnsi="Times New Roman" w:cs="Times New Roman"/>
          <w:b/>
          <w:i/>
          <w:iCs/>
          <w:sz w:val="20"/>
          <w:szCs w:val="20"/>
        </w:rPr>
        <w:t xml:space="preserve"> </w:t>
      </w:r>
      <w:r>
        <w:rPr>
          <w:rFonts w:hint="default" w:ascii="Times New Roman" w:hAnsi="Times New Roman" w:eastAsia="宋体" w:cs="Times New Roman"/>
          <w:i/>
          <w:iCs/>
          <w:kern w:val="0"/>
          <w:sz w:val="20"/>
          <w:szCs w:val="20"/>
        </w:rPr>
        <w:t>group comm</w:t>
      </w:r>
      <w:r>
        <w:rPr>
          <w:rFonts w:hint="default" w:ascii="Times New Roman" w:hAnsi="Times New Roman" w:eastAsia="宋体" w:cs="Times New Roman"/>
          <w:i/>
          <w:iCs/>
          <w:color w:val="auto"/>
          <w:kern w:val="0"/>
          <w:sz w:val="20"/>
          <w:szCs w:val="20"/>
        </w:rPr>
        <w:t xml:space="preserve">on TPC commands with format 2_2 for CG-PUSCH, if UE is configured to </w:t>
      </w:r>
      <w:r>
        <w:rPr>
          <w:rFonts w:hint="default" w:ascii="Times New Roman" w:hAnsi="Times New Roman" w:eastAsia="宋体" w:cs="Times New Roman"/>
          <w:bCs/>
          <w:i/>
          <w:iCs/>
          <w:color w:val="auto"/>
          <w:kern w:val="0"/>
          <w:sz w:val="20"/>
          <w:szCs w:val="20"/>
          <w:lang w:eastAsia="en-US"/>
        </w:rPr>
        <w:t>accumulate TPC commands,</w:t>
      </w:r>
    </w:p>
    <w:p>
      <w:pPr>
        <w:pStyle w:val="114"/>
        <w:numPr>
          <w:ilvl w:val="0"/>
          <w:numId w:val="15"/>
        </w:numPr>
        <w:autoSpaceDE/>
        <w:autoSpaceDN/>
        <w:adjustRightInd/>
        <w:snapToGrid/>
        <w:spacing w:before="156" w:after="0" w:line="240" w:lineRule="auto"/>
        <w:ind w:firstLineChars="0"/>
        <w:rPr>
          <w:rFonts w:hint="default" w:ascii="Times New Roman" w:hAnsi="Times New Roman" w:cs="Times New Roman"/>
          <w:i/>
          <w:iCs/>
          <w:color w:val="auto"/>
          <w:sz w:val="20"/>
          <w:szCs w:val="20"/>
        </w:rPr>
      </w:pPr>
      <w:r>
        <w:rPr>
          <w:rFonts w:hint="default" w:ascii="Times New Roman" w:hAnsi="Times New Roman" w:cs="Times New Roman"/>
          <w:i/>
          <w:iCs/>
          <w:color w:val="auto"/>
          <w:sz w:val="20"/>
          <w:szCs w:val="20"/>
          <w:lang w:val="en-GB"/>
        </w:rPr>
        <w:t xml:space="preserve">For a transmission occasion </w:t>
      </w:r>
      <m:oMath>
        <m:r>
          <w:rPr>
            <w:rFonts w:hint="default" w:ascii="Cambria Math" w:hAnsi="Cambria Math" w:cs="Times New Roman"/>
            <w:color w:val="auto"/>
            <w:sz w:val="20"/>
            <w:szCs w:val="20"/>
            <w:lang w:val="en-GB"/>
          </w:rPr>
          <m:t>i</m:t>
        </m:r>
      </m:oMath>
      <w:r>
        <w:rPr>
          <w:rFonts w:hint="default" w:ascii="Times New Roman" w:hAnsi="Times New Roman" w:cs="Times New Roman"/>
          <w:i/>
          <w:iCs/>
          <w:color w:val="auto"/>
          <w:sz w:val="20"/>
          <w:szCs w:val="20"/>
          <w:lang w:val="en-GB"/>
        </w:rPr>
        <w:t xml:space="preserve"> occurs within a nominal time domain window, </w:t>
      </w:r>
      <m:oMath>
        <m:sSub>
          <m:sSubPr>
            <m:ctrlPr>
              <w:rPr>
                <w:rFonts w:hint="default" w:ascii="Cambria Math" w:hAnsi="Cambria Math" w:cs="Times New Roman"/>
                <w:i/>
                <w:iCs/>
                <w:color w:val="auto"/>
                <w:sz w:val="20"/>
                <w:szCs w:val="20"/>
              </w:rPr>
            </m:ctrlPr>
          </m:sSubPr>
          <m:e>
            <m:r>
              <w:rPr>
                <w:rFonts w:hint="default" w:ascii="Cambria Math" w:hAnsi="Cambria Math" w:cs="Times New Roman"/>
                <w:color w:val="auto"/>
                <w:sz w:val="20"/>
                <w:szCs w:val="20"/>
              </w:rPr>
              <m:t>f</m:t>
            </m:r>
            <m:ctrlPr>
              <w:rPr>
                <w:rFonts w:hint="default" w:ascii="Cambria Math" w:hAnsi="Cambria Math" w:cs="Times New Roman"/>
                <w:i/>
                <w:iCs/>
                <w:color w:val="auto"/>
                <w:sz w:val="20"/>
                <w:szCs w:val="20"/>
              </w:rPr>
            </m:ctrlPr>
          </m:e>
          <m:sub>
            <m:r>
              <w:rPr>
                <w:rFonts w:hint="default" w:ascii="Cambria Math" w:hAnsi="Cambria Math" w:cs="Times New Roman"/>
                <w:color w:val="auto"/>
                <w:sz w:val="20"/>
                <w:szCs w:val="20"/>
              </w:rPr>
              <m:t>i</m:t>
            </m:r>
            <m:ctrlPr>
              <w:rPr>
                <w:rFonts w:hint="default" w:ascii="Cambria Math" w:hAnsi="Cambria Math" w:cs="Times New Roman"/>
                <w:i/>
                <w:iCs/>
                <w:color w:val="auto"/>
                <w:sz w:val="20"/>
                <w:szCs w:val="20"/>
              </w:rPr>
            </m:ctrlPr>
          </m:sub>
        </m:sSub>
        <m:r>
          <w:rPr>
            <w:rFonts w:hint="default" w:ascii="Cambria Math" w:hAnsi="Cambria Math" w:cs="Times New Roman"/>
            <w:color w:val="auto"/>
            <w:sz w:val="20"/>
            <w:szCs w:val="20"/>
            <w:lang w:val="en-GB"/>
          </w:rPr>
          <m:t>=</m:t>
        </m:r>
        <m:sSub>
          <m:sSubPr>
            <m:ctrlPr>
              <w:rPr>
                <w:rFonts w:hint="default" w:ascii="Cambria Math" w:hAnsi="Cambria Math" w:cs="Times New Roman"/>
                <w:i/>
                <w:iCs/>
                <w:color w:val="auto"/>
                <w:sz w:val="20"/>
                <w:szCs w:val="20"/>
              </w:rPr>
            </m:ctrlPr>
          </m:sSubPr>
          <m:e>
            <m:r>
              <w:rPr>
                <w:rFonts w:hint="default" w:ascii="Cambria Math" w:hAnsi="Cambria Math" w:cs="Times New Roman"/>
                <w:color w:val="auto"/>
                <w:sz w:val="20"/>
                <w:szCs w:val="20"/>
              </w:rPr>
              <m:t>f</m:t>
            </m:r>
            <m:ctrlPr>
              <w:rPr>
                <w:rFonts w:hint="default" w:ascii="Cambria Math" w:hAnsi="Cambria Math" w:cs="Times New Roman"/>
                <w:i/>
                <w:iCs/>
                <w:color w:val="auto"/>
                <w:sz w:val="20"/>
                <w:szCs w:val="20"/>
              </w:rPr>
            </m:ctrlPr>
          </m:e>
          <m:sub>
            <m:r>
              <w:rPr>
                <w:rFonts w:hint="default" w:ascii="Cambria Math" w:hAnsi="Cambria Math" w:cs="Times New Roman"/>
                <w:color w:val="auto"/>
                <w:sz w:val="20"/>
                <w:szCs w:val="20"/>
                <w:lang w:val="en-GB"/>
              </w:rPr>
              <m:t xml:space="preserve"> </m:t>
            </m:r>
            <m:sSub>
              <m:sSubPr>
                <m:ctrlPr>
                  <w:rPr>
                    <w:rFonts w:hint="default" w:ascii="Cambria Math" w:hAnsi="Cambria Math" w:cs="Times New Roman"/>
                    <w:i/>
                    <w:iCs/>
                    <w:color w:val="auto"/>
                    <w:sz w:val="20"/>
                    <w:szCs w:val="20"/>
                    <w:lang w:val="en-GB"/>
                  </w:rPr>
                </m:ctrlPr>
              </m:sSubPr>
              <m:e>
                <m:r>
                  <w:rPr>
                    <w:rFonts w:hint="default" w:ascii="Cambria Math" w:hAnsi="Cambria Math" w:cs="Times New Roman"/>
                    <w:color w:val="auto"/>
                    <w:sz w:val="20"/>
                    <w:szCs w:val="20"/>
                    <w:lang w:val="en-GB"/>
                  </w:rPr>
                  <m:t>i</m:t>
                </m:r>
                <m:ctrlPr>
                  <w:rPr>
                    <w:rFonts w:hint="default" w:ascii="Cambria Math" w:hAnsi="Cambria Math" w:cs="Times New Roman"/>
                    <w:i/>
                    <w:iCs/>
                    <w:color w:val="auto"/>
                    <w:sz w:val="20"/>
                    <w:szCs w:val="20"/>
                    <w:lang w:val="en-GB"/>
                  </w:rPr>
                </m:ctrlPr>
              </m:e>
              <m:sub>
                <m:r>
                  <w:rPr>
                    <w:rFonts w:hint="default" w:ascii="Cambria Math" w:hAnsi="Cambria Math" w:cs="Times New Roman"/>
                    <w:color w:val="auto"/>
                    <w:sz w:val="20"/>
                    <w:szCs w:val="20"/>
                    <w:lang w:val="en-GB"/>
                  </w:rPr>
                  <m:t>1</m:t>
                </m:r>
                <m:ctrlPr>
                  <w:rPr>
                    <w:rFonts w:hint="default" w:ascii="Cambria Math" w:hAnsi="Cambria Math" w:cs="Times New Roman"/>
                    <w:i/>
                    <w:iCs/>
                    <w:color w:val="auto"/>
                    <w:sz w:val="20"/>
                    <w:szCs w:val="20"/>
                    <w:lang w:val="en-GB"/>
                  </w:rPr>
                </m:ctrlPr>
              </m:sub>
            </m:sSub>
            <m:ctrlPr>
              <w:rPr>
                <w:rFonts w:hint="default" w:ascii="Cambria Math" w:hAnsi="Cambria Math" w:cs="Times New Roman"/>
                <w:i/>
                <w:iCs/>
                <w:color w:val="auto"/>
                <w:sz w:val="20"/>
                <w:szCs w:val="20"/>
              </w:rPr>
            </m:ctrlPr>
          </m:sub>
        </m:sSub>
      </m:oMath>
      <w:r>
        <w:rPr>
          <w:rFonts w:hint="default" w:ascii="Times New Roman" w:hAnsi="Times New Roman" w:cs="Times New Roman"/>
          <w:i/>
          <w:iCs/>
          <w:color w:val="auto"/>
          <w:sz w:val="20"/>
          <w:szCs w:val="20"/>
          <w:lang w:val="en-GB"/>
        </w:rPr>
        <w:t xml:space="preserve">, where transmission occasion </w:t>
      </w:r>
      <m:oMath>
        <m:sSub>
          <m:sSubPr>
            <m:ctrlPr>
              <w:rPr>
                <w:rFonts w:hint="default" w:ascii="Cambria Math" w:hAnsi="Cambria Math" w:cs="Times New Roman"/>
                <w:i/>
                <w:iCs/>
                <w:color w:val="auto"/>
                <w:sz w:val="20"/>
                <w:szCs w:val="20"/>
                <w:lang w:val="en-GB"/>
              </w:rPr>
            </m:ctrlPr>
          </m:sSubPr>
          <m:e>
            <m:r>
              <w:rPr>
                <w:rFonts w:hint="default" w:ascii="Cambria Math" w:hAnsi="Cambria Math" w:cs="Times New Roman"/>
                <w:color w:val="auto"/>
                <w:sz w:val="20"/>
                <w:szCs w:val="20"/>
                <w:lang w:val="en-GB"/>
              </w:rPr>
              <m:t>i</m:t>
            </m:r>
            <m:ctrlPr>
              <w:rPr>
                <w:rFonts w:hint="default" w:ascii="Cambria Math" w:hAnsi="Cambria Math" w:cs="Times New Roman"/>
                <w:i/>
                <w:iCs/>
                <w:color w:val="auto"/>
                <w:sz w:val="20"/>
                <w:szCs w:val="20"/>
                <w:lang w:val="en-GB"/>
              </w:rPr>
            </m:ctrlPr>
          </m:e>
          <m:sub>
            <m:r>
              <w:rPr>
                <w:rFonts w:hint="default" w:ascii="Cambria Math" w:hAnsi="Cambria Math" w:cs="Times New Roman"/>
                <w:color w:val="auto"/>
                <w:sz w:val="20"/>
                <w:szCs w:val="20"/>
                <w:lang w:val="en-GB"/>
              </w:rPr>
              <m:t>1</m:t>
            </m:r>
            <m:ctrlPr>
              <w:rPr>
                <w:rFonts w:hint="default" w:ascii="Cambria Math" w:hAnsi="Cambria Math" w:cs="Times New Roman"/>
                <w:i/>
                <w:iCs/>
                <w:color w:val="auto"/>
                <w:sz w:val="20"/>
                <w:szCs w:val="20"/>
                <w:lang w:val="en-GB"/>
              </w:rPr>
            </m:ctrlPr>
          </m:sub>
        </m:sSub>
      </m:oMath>
      <w:r>
        <w:rPr>
          <w:rFonts w:hint="default" w:ascii="Times New Roman" w:hAnsi="Times New Roman" w:cs="Times New Roman"/>
          <w:i/>
          <w:iCs/>
          <w:color w:val="auto"/>
          <w:sz w:val="20"/>
          <w:szCs w:val="20"/>
          <w:lang w:val="en-GB"/>
        </w:rPr>
        <w:t xml:space="preserve"> is a first transmission occasion within the nominal time domain window.</w:t>
      </w:r>
    </w:p>
    <w:p>
      <w:pPr>
        <w:pStyle w:val="114"/>
        <w:numPr>
          <w:ilvl w:val="0"/>
          <w:numId w:val="15"/>
        </w:numPr>
        <w:autoSpaceDE/>
        <w:autoSpaceDN/>
        <w:adjustRightInd/>
        <w:snapToGrid/>
        <w:spacing w:before="156" w:after="0" w:line="240" w:lineRule="auto"/>
        <w:ind w:firstLineChars="0"/>
        <w:rPr>
          <w:rFonts w:hint="default" w:ascii="Times New Roman" w:hAnsi="Times New Roman" w:cs="Times New Roman"/>
          <w:i/>
          <w:iCs/>
          <w:color w:val="auto"/>
          <w:sz w:val="20"/>
          <w:szCs w:val="20"/>
          <w:lang w:val="en-US" w:eastAsia="zh-CN"/>
        </w:rPr>
      </w:pPr>
      <w:bookmarkStart w:id="3" w:name="OLE_LINK3"/>
      <w:r>
        <w:rPr>
          <w:rFonts w:hint="default" w:ascii="Times New Roman" w:hAnsi="Times New Roman" w:cs="Times New Roman"/>
          <w:i/>
          <w:iCs/>
          <w:color w:val="auto"/>
          <w:sz w:val="20"/>
          <w:szCs w:val="20"/>
          <w:lang w:val="en-GB"/>
        </w:rPr>
        <w:t xml:space="preserve">For the first transmission occasion </w:t>
      </w:r>
      <m:oMath>
        <m:r>
          <w:rPr>
            <w:rFonts w:hint="default" w:ascii="Cambria Math" w:hAnsi="Cambria Math" w:cs="Times New Roman"/>
            <w:color w:val="auto"/>
            <w:sz w:val="20"/>
            <w:szCs w:val="20"/>
            <w:lang w:val="en-GB"/>
          </w:rPr>
          <m:t>k</m:t>
        </m:r>
      </m:oMath>
      <w:r>
        <w:rPr>
          <w:rFonts w:hint="default" w:ascii="Times New Roman" w:hAnsi="Times New Roman" w:cs="Times New Roman"/>
          <w:i/>
          <w:iCs/>
          <w:color w:val="auto"/>
          <w:sz w:val="20"/>
          <w:szCs w:val="20"/>
          <w:lang w:val="en-GB"/>
        </w:rPr>
        <w:t xml:space="preserve"> occuring after the nominal time domain window, </w:t>
      </w:r>
      <m:oMath>
        <m:sSub>
          <m:sSubPr>
            <m:ctrlPr>
              <w:rPr>
                <w:rFonts w:hint="default" w:ascii="Cambria Math" w:hAnsi="Cambria Math" w:cs="Times New Roman"/>
                <w:i/>
                <w:iCs/>
                <w:color w:val="auto"/>
                <w:sz w:val="20"/>
                <w:szCs w:val="20"/>
              </w:rPr>
            </m:ctrlPr>
          </m:sSubPr>
          <m:e>
            <m:r>
              <w:rPr>
                <w:rFonts w:hint="default" w:ascii="Cambria Math" w:hAnsi="Cambria Math" w:cs="Times New Roman"/>
                <w:color w:val="auto"/>
                <w:sz w:val="20"/>
                <w:szCs w:val="20"/>
              </w:rPr>
              <m:t>f</m:t>
            </m:r>
            <m:ctrlPr>
              <w:rPr>
                <w:rFonts w:hint="default" w:ascii="Cambria Math" w:hAnsi="Cambria Math" w:cs="Times New Roman"/>
                <w:i/>
                <w:iCs/>
                <w:color w:val="auto"/>
                <w:sz w:val="20"/>
                <w:szCs w:val="20"/>
              </w:rPr>
            </m:ctrlPr>
          </m:e>
          <m:sub>
            <m:r>
              <w:rPr>
                <w:rFonts w:hint="default" w:ascii="Cambria Math" w:hAnsi="Cambria Math" w:cs="Times New Roman"/>
                <w:color w:val="auto"/>
                <w:sz w:val="20"/>
                <w:szCs w:val="20"/>
              </w:rPr>
              <m:t>k</m:t>
            </m:r>
            <m:ctrlPr>
              <w:rPr>
                <w:rFonts w:hint="default" w:ascii="Cambria Math" w:hAnsi="Cambria Math" w:cs="Times New Roman"/>
                <w:i/>
                <w:iCs/>
                <w:color w:val="auto"/>
                <w:sz w:val="20"/>
                <w:szCs w:val="20"/>
              </w:rPr>
            </m:ctrlPr>
          </m:sub>
        </m:sSub>
        <m:r>
          <w:rPr>
            <w:rFonts w:hint="default" w:ascii="Cambria Math" w:hAnsi="Cambria Math" w:cs="Times New Roman"/>
            <w:color w:val="auto"/>
            <w:sz w:val="20"/>
            <w:szCs w:val="20"/>
            <w:lang w:val="en-GB"/>
          </w:rPr>
          <m:t>=</m:t>
        </m:r>
        <m:sSub>
          <m:sSubPr>
            <m:ctrlPr>
              <w:rPr>
                <w:rFonts w:hint="default" w:ascii="Cambria Math" w:hAnsi="Cambria Math" w:cs="Times New Roman"/>
                <w:i/>
                <w:iCs/>
                <w:color w:val="auto"/>
                <w:sz w:val="20"/>
                <w:szCs w:val="20"/>
              </w:rPr>
            </m:ctrlPr>
          </m:sSubPr>
          <m:e>
            <m:r>
              <w:rPr>
                <w:rFonts w:hint="default" w:ascii="Cambria Math" w:hAnsi="Cambria Math" w:cs="Times New Roman"/>
                <w:color w:val="auto"/>
                <w:sz w:val="20"/>
                <w:szCs w:val="20"/>
              </w:rPr>
              <m:t>f</m:t>
            </m:r>
            <m:ctrlPr>
              <w:rPr>
                <w:rFonts w:hint="default" w:ascii="Cambria Math" w:hAnsi="Cambria Math" w:cs="Times New Roman"/>
                <w:i/>
                <w:iCs/>
                <w:color w:val="auto"/>
                <w:sz w:val="20"/>
                <w:szCs w:val="20"/>
              </w:rPr>
            </m:ctrlPr>
          </m:e>
          <m:sub>
            <m:sSub>
              <m:sSubPr>
                <m:ctrlPr>
                  <w:rPr>
                    <w:rFonts w:hint="default" w:ascii="Cambria Math" w:hAnsi="Cambria Math" w:cs="Times New Roman"/>
                    <w:i/>
                    <w:iCs/>
                    <w:color w:val="auto"/>
                    <w:sz w:val="20"/>
                    <w:szCs w:val="20"/>
                    <w:lang w:val="en-GB"/>
                  </w:rPr>
                </m:ctrlPr>
              </m:sSubPr>
              <m:e>
                <m:r>
                  <w:rPr>
                    <w:rFonts w:hint="default" w:ascii="Cambria Math" w:hAnsi="Cambria Math" w:cs="Times New Roman"/>
                    <w:color w:val="auto"/>
                    <w:sz w:val="20"/>
                    <w:szCs w:val="20"/>
                    <w:lang w:val="en-GB"/>
                  </w:rPr>
                  <m:t>i</m:t>
                </m:r>
                <m:ctrlPr>
                  <w:rPr>
                    <w:rFonts w:hint="default" w:ascii="Cambria Math" w:hAnsi="Cambria Math" w:cs="Times New Roman"/>
                    <w:i/>
                    <w:iCs/>
                    <w:color w:val="auto"/>
                    <w:sz w:val="20"/>
                    <w:szCs w:val="20"/>
                    <w:lang w:val="en-GB"/>
                  </w:rPr>
                </m:ctrlPr>
              </m:e>
              <m:sub>
                <m:r>
                  <w:rPr>
                    <w:rFonts w:hint="default" w:ascii="Cambria Math" w:hAnsi="Cambria Math" w:cs="Times New Roman"/>
                    <w:color w:val="auto"/>
                    <w:sz w:val="20"/>
                    <w:szCs w:val="20"/>
                    <w:lang w:val="en-GB"/>
                  </w:rPr>
                  <m:t>1</m:t>
                </m:r>
                <m:ctrlPr>
                  <w:rPr>
                    <w:rFonts w:hint="default" w:ascii="Cambria Math" w:hAnsi="Cambria Math" w:cs="Times New Roman"/>
                    <w:i/>
                    <w:iCs/>
                    <w:color w:val="auto"/>
                    <w:sz w:val="20"/>
                    <w:szCs w:val="20"/>
                    <w:lang w:val="en-GB"/>
                  </w:rPr>
                </m:ctrlPr>
              </m:sub>
            </m:sSub>
            <m:ctrlPr>
              <w:rPr>
                <w:rFonts w:hint="default" w:ascii="Cambria Math" w:hAnsi="Cambria Math" w:cs="Times New Roman"/>
                <w:i/>
                <w:iCs/>
                <w:color w:val="auto"/>
                <w:sz w:val="20"/>
                <w:szCs w:val="20"/>
              </w:rPr>
            </m:ctrlPr>
          </m:sub>
        </m:sSub>
        <m:r>
          <w:rPr>
            <w:rFonts w:hint="default" w:ascii="Cambria Math" w:hAnsi="Cambria Math" w:cs="Times New Roman"/>
            <w:color w:val="auto"/>
            <w:sz w:val="20"/>
            <w:szCs w:val="20"/>
            <w:lang w:val="en-GB"/>
          </w:rPr>
          <m:t>+</m:t>
        </m:r>
        <m:nary>
          <m:naryPr>
            <m:chr m:val="∑"/>
            <m:limLoc m:val="undOvr"/>
            <m:subHide m:val="1"/>
            <m:supHide m:val="1"/>
            <m:ctrlPr>
              <w:rPr>
                <w:rFonts w:hint="default" w:ascii="Cambria Math" w:hAnsi="Cambria Math" w:cs="Times New Roman"/>
                <w:i/>
                <w:iCs/>
                <w:color w:val="auto"/>
                <w:sz w:val="20"/>
                <w:szCs w:val="20"/>
                <w:lang w:val="en-GB"/>
              </w:rPr>
            </m:ctrlPr>
          </m:naryPr>
          <m:sub>
            <m:ctrlPr>
              <w:rPr>
                <w:rFonts w:hint="default" w:ascii="Cambria Math" w:hAnsi="Cambria Math" w:cs="Times New Roman"/>
                <w:i/>
                <w:iCs/>
                <w:color w:val="auto"/>
                <w:sz w:val="20"/>
                <w:szCs w:val="20"/>
                <w:lang w:val="en-GB"/>
              </w:rPr>
            </m:ctrlPr>
          </m:sub>
          <m:sup>
            <m:ctrlPr>
              <w:rPr>
                <w:rFonts w:hint="default" w:ascii="Cambria Math" w:hAnsi="Cambria Math" w:cs="Times New Roman"/>
                <w:i/>
                <w:iCs/>
                <w:color w:val="auto"/>
                <w:sz w:val="20"/>
                <w:szCs w:val="20"/>
                <w:lang w:val="en-GB"/>
              </w:rPr>
            </m:ctrlPr>
          </m:sup>
          <m:e>
            <m:sSub>
              <m:sSubPr>
                <m:ctrlPr>
                  <w:rPr>
                    <w:rFonts w:hint="default" w:ascii="Cambria Math" w:hAnsi="Cambria Math" w:cs="Times New Roman"/>
                    <w:i/>
                    <w:iCs/>
                    <w:color w:val="auto"/>
                    <w:sz w:val="20"/>
                    <w:szCs w:val="20"/>
                  </w:rPr>
                </m:ctrlPr>
              </m:sSubPr>
              <m:e>
                <m:r>
                  <w:rPr>
                    <w:rFonts w:hint="default" w:ascii="Cambria Math" w:hAnsi="Cambria Math" w:cs="Times New Roman"/>
                    <w:color w:val="auto"/>
                    <w:sz w:val="20"/>
                    <w:szCs w:val="20"/>
                  </w:rPr>
                  <m:t>δ</m:t>
                </m:r>
                <m:ctrlPr>
                  <w:rPr>
                    <w:rFonts w:hint="default" w:ascii="Cambria Math" w:hAnsi="Cambria Math" w:cs="Times New Roman"/>
                    <w:i/>
                    <w:iCs/>
                    <w:color w:val="auto"/>
                    <w:sz w:val="20"/>
                    <w:szCs w:val="20"/>
                  </w:rPr>
                </m:ctrlPr>
              </m:e>
              <m:sub>
                <m:r>
                  <w:rPr>
                    <w:rFonts w:hint="default" w:ascii="Cambria Math" w:hAnsi="Cambria Math" w:cs="Times New Roman"/>
                    <w:color w:val="auto"/>
                    <w:sz w:val="20"/>
                    <w:szCs w:val="20"/>
                  </w:rPr>
                  <m:t>j</m:t>
                </m:r>
                <m:ctrlPr>
                  <w:rPr>
                    <w:rFonts w:hint="default" w:ascii="Cambria Math" w:hAnsi="Cambria Math" w:cs="Times New Roman"/>
                    <w:i/>
                    <w:iCs/>
                    <w:color w:val="auto"/>
                    <w:sz w:val="20"/>
                    <w:szCs w:val="20"/>
                  </w:rPr>
                </m:ctrlPr>
              </m:sub>
            </m:sSub>
            <m:ctrlPr>
              <w:rPr>
                <w:rFonts w:hint="default" w:ascii="Cambria Math" w:hAnsi="Cambria Math" w:cs="Times New Roman"/>
                <w:i/>
                <w:iCs/>
                <w:color w:val="auto"/>
                <w:sz w:val="20"/>
                <w:szCs w:val="20"/>
                <w:lang w:val="en-GB"/>
              </w:rPr>
            </m:ctrlPr>
          </m:e>
        </m:nary>
      </m:oMath>
      <w:r>
        <w:rPr>
          <w:rFonts w:hint="default" w:ascii="Times New Roman" w:hAnsi="Times New Roman" w:cs="Times New Roman"/>
          <w:i/>
          <w:iCs/>
          <w:color w:val="auto"/>
          <w:sz w:val="20"/>
          <w:szCs w:val="20"/>
          <w:lang w:val="en-GB"/>
        </w:rPr>
        <w:t xml:space="preserve">, where </w:t>
      </w:r>
      <m:oMath>
        <m:sSub>
          <m:sSubPr>
            <m:ctrlPr>
              <w:rPr>
                <w:rFonts w:hint="default" w:ascii="Cambria Math" w:hAnsi="Cambria Math" w:cs="Times New Roman"/>
                <w:i/>
                <w:iCs/>
                <w:color w:val="auto"/>
                <w:sz w:val="20"/>
                <w:szCs w:val="20"/>
              </w:rPr>
            </m:ctrlPr>
          </m:sSubPr>
          <m:e>
            <m:r>
              <w:rPr>
                <w:rFonts w:hint="default" w:ascii="Cambria Math" w:hAnsi="Cambria Math" w:cs="Times New Roman"/>
                <w:color w:val="auto"/>
                <w:sz w:val="20"/>
                <w:szCs w:val="20"/>
              </w:rPr>
              <m:t>δ</m:t>
            </m:r>
            <m:ctrlPr>
              <w:rPr>
                <w:rFonts w:hint="default" w:ascii="Cambria Math" w:hAnsi="Cambria Math" w:cs="Times New Roman"/>
                <w:i/>
                <w:iCs/>
                <w:color w:val="auto"/>
                <w:sz w:val="20"/>
                <w:szCs w:val="20"/>
              </w:rPr>
            </m:ctrlPr>
          </m:e>
          <m:sub>
            <m:r>
              <w:rPr>
                <w:rFonts w:hint="default" w:ascii="Cambria Math" w:hAnsi="Cambria Math" w:cs="Times New Roman"/>
                <w:color w:val="auto"/>
                <w:sz w:val="20"/>
                <w:szCs w:val="20"/>
              </w:rPr>
              <m:t>j</m:t>
            </m:r>
            <m:ctrlPr>
              <w:rPr>
                <w:rFonts w:hint="default" w:ascii="Cambria Math" w:hAnsi="Cambria Math" w:cs="Times New Roman"/>
                <w:i/>
                <w:iCs/>
                <w:color w:val="auto"/>
                <w:sz w:val="20"/>
                <w:szCs w:val="20"/>
              </w:rPr>
            </m:ctrlPr>
          </m:sub>
        </m:sSub>
      </m:oMath>
      <w:r>
        <w:rPr>
          <w:rFonts w:hint="default" w:ascii="Times New Roman" w:hAnsi="Times New Roman" w:cs="Times New Roman"/>
          <w:i/>
          <w:iCs/>
          <w:color w:val="auto"/>
          <w:sz w:val="20"/>
          <w:szCs w:val="20"/>
          <w:lang w:val="en-GB"/>
        </w:rPr>
        <w:t xml:space="preserve"> is all the TPC command values that would take effect for the transmission occasions occurring after transmission occasion </w:t>
      </w:r>
      <m:oMath>
        <m:sSub>
          <m:sSubPr>
            <m:ctrlPr>
              <w:rPr>
                <w:rFonts w:hint="default" w:ascii="Cambria Math" w:hAnsi="Cambria Math" w:cs="Times New Roman"/>
                <w:i/>
                <w:iCs/>
                <w:color w:val="auto"/>
                <w:sz w:val="20"/>
                <w:szCs w:val="20"/>
                <w:lang w:val="en-GB"/>
              </w:rPr>
            </m:ctrlPr>
          </m:sSubPr>
          <m:e>
            <m:r>
              <w:rPr>
                <w:rFonts w:hint="default" w:ascii="Cambria Math" w:hAnsi="Cambria Math" w:cs="Times New Roman"/>
                <w:color w:val="auto"/>
                <w:sz w:val="20"/>
                <w:szCs w:val="20"/>
                <w:lang w:val="en-GB"/>
              </w:rPr>
              <m:t>i</m:t>
            </m:r>
            <m:ctrlPr>
              <w:rPr>
                <w:rFonts w:hint="default" w:ascii="Cambria Math" w:hAnsi="Cambria Math" w:cs="Times New Roman"/>
                <w:i/>
                <w:iCs/>
                <w:color w:val="auto"/>
                <w:sz w:val="20"/>
                <w:szCs w:val="20"/>
                <w:lang w:val="en-GB"/>
              </w:rPr>
            </m:ctrlPr>
          </m:e>
          <m:sub>
            <m:r>
              <w:rPr>
                <w:rFonts w:hint="default" w:ascii="Cambria Math" w:hAnsi="Cambria Math" w:cs="Times New Roman"/>
                <w:color w:val="auto"/>
                <w:sz w:val="20"/>
                <w:szCs w:val="20"/>
                <w:lang w:val="en-GB"/>
              </w:rPr>
              <m:t>1</m:t>
            </m:r>
            <m:ctrlPr>
              <w:rPr>
                <w:rFonts w:hint="default" w:ascii="Cambria Math" w:hAnsi="Cambria Math" w:cs="Times New Roman"/>
                <w:i/>
                <w:iCs/>
                <w:color w:val="auto"/>
                <w:sz w:val="20"/>
                <w:szCs w:val="20"/>
                <w:lang w:val="en-GB"/>
              </w:rPr>
            </m:ctrlPr>
          </m:sub>
        </m:sSub>
      </m:oMath>
      <w:r>
        <w:rPr>
          <w:rFonts w:hint="default" w:ascii="Times New Roman" w:hAnsi="Times New Roman" w:cs="Times New Roman"/>
          <w:i/>
          <w:iCs/>
          <w:color w:val="auto"/>
          <w:sz w:val="20"/>
          <w:szCs w:val="20"/>
          <w:lang w:val="en-GB"/>
        </w:rPr>
        <w:t xml:space="preserve"> and no later than transmission occasion </w:t>
      </w:r>
      <m:oMath>
        <m:r>
          <w:rPr>
            <w:rFonts w:hint="default" w:ascii="Cambria Math" w:hAnsi="Cambria Math" w:cs="Times New Roman"/>
            <w:color w:val="auto"/>
            <w:sz w:val="20"/>
            <w:szCs w:val="20"/>
            <w:lang w:val="en-GB"/>
          </w:rPr>
          <m:t>k</m:t>
        </m:r>
      </m:oMath>
      <w:r>
        <w:rPr>
          <w:rFonts w:hint="default" w:ascii="Times New Roman" w:hAnsi="Times New Roman" w:cs="Times New Roman"/>
          <w:i/>
          <w:iCs/>
          <w:color w:val="auto"/>
          <w:sz w:val="20"/>
          <w:szCs w:val="20"/>
          <w:lang w:val="en-GB"/>
        </w:rPr>
        <w:t xml:space="preserve"> (i.e. including occasion k itself)</w:t>
      </w:r>
      <w:r>
        <w:rPr>
          <w:rFonts w:hint="default" w:ascii="Times New Roman" w:hAnsi="Times New Roman" w:eastAsia="宋体" w:cs="Times New Roman"/>
          <w:i/>
          <w:iCs/>
          <w:color w:val="auto"/>
          <w:sz w:val="20"/>
          <w:szCs w:val="20"/>
          <w:lang w:val="en-US" w:eastAsia="zh-CN"/>
        </w:rPr>
        <w:t xml:space="preserve">. </w:t>
      </w:r>
      <w:bookmarkEnd w:id="3"/>
    </w:p>
    <w:p>
      <w:pPr>
        <w:pStyle w:val="2"/>
        <w:tabs>
          <w:tab w:val="left" w:pos="432"/>
        </w:tabs>
        <w:spacing w:beforeLines="0" w:after="180" w:afterLines="50"/>
      </w:pPr>
      <w:r>
        <w:rPr>
          <w:rFonts w:hint="eastAsia"/>
        </w:rPr>
        <w:t>Conclusion</w:t>
      </w:r>
    </w:p>
    <w:p>
      <w:pP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According to the analysis given above, we have the following</w:t>
      </w:r>
      <w:r>
        <w:rPr>
          <w:rFonts w:hint="default" w:ascii="Times New Roman" w:hAnsi="Times New Roman" w:cs="Times New Roman"/>
          <w:lang w:val="en-US" w:eastAsia="zh-CN"/>
        </w:rPr>
        <w:t xml:space="preserve"> </w:t>
      </w:r>
      <w:r>
        <w:rPr>
          <w:rFonts w:hint="default" w:ascii="Times New Roman" w:hAnsi="Times New Roman" w:eastAsia="宋体" w:cs="Times New Roman"/>
          <w:lang w:val="en-US" w:eastAsia="zh-CN"/>
        </w:rPr>
        <w:t>proposals:</w:t>
      </w:r>
    </w:p>
    <w:p>
      <w:pPr>
        <w:pStyle w:val="114"/>
        <w:numPr>
          <w:ilvl w:val="-1"/>
          <w:numId w:val="0"/>
        </w:numPr>
        <w:spacing w:before="120" w:after="137" w:afterLines="50" w:line="280" w:lineRule="atLeast"/>
        <w:ind w:leftChars="0"/>
        <w:rPr>
          <w:rFonts w:hint="default" w:cs="Times New Roman"/>
          <w:i/>
          <w:iCs/>
          <w:lang w:val="en-US" w:eastAsia="zh-CN"/>
        </w:rPr>
      </w:pPr>
      <w:r>
        <w:rPr>
          <w:rFonts w:hint="default" w:cs="Times New Roman"/>
          <w:b/>
          <w:bCs/>
          <w:i/>
          <w:iCs/>
          <w:lang w:val="en-US" w:eastAsia="zh-CN"/>
        </w:rPr>
        <w:t xml:space="preserve">Proposal 1: </w:t>
      </w:r>
      <w:r>
        <w:rPr>
          <w:rFonts w:hint="default" w:cs="Times New Roman"/>
          <w:b w:val="0"/>
          <w:bCs w:val="0"/>
          <w:i/>
          <w:iCs/>
          <w:lang w:val="en-US" w:eastAsia="zh-CN"/>
        </w:rPr>
        <w:t xml:space="preserve">The working assumption below is confirmed with </w:t>
      </w:r>
      <w:r>
        <w:rPr>
          <w:rFonts w:hint="eastAsia" w:cs="Times New Roman"/>
          <w:b w:val="0"/>
          <w:bCs w:val="0"/>
          <w:i/>
          <w:iCs/>
          <w:lang w:val="en-US" w:eastAsia="zh-CN"/>
        </w:rPr>
        <w:t>deleting the FFS</w:t>
      </w:r>
      <w:r>
        <w:rPr>
          <w:rFonts w:hint="eastAsia"/>
          <w:b w:val="0"/>
          <w:bCs w:val="0"/>
          <w:i/>
          <w:iCs/>
          <w:sz w:val="20"/>
          <w:szCs w:val="22"/>
          <w:lang w:val="en-US" w:eastAsia="zh-CN"/>
        </w:rPr>
        <w:t xml:space="preserve">. </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keepNext w:val="0"/>
              <w:keepLines w:val="0"/>
              <w:pageBreakBefore w:val="0"/>
              <w:widowControl/>
              <w:kinsoku/>
              <w:wordWrap/>
              <w:topLinePunct w:val="0"/>
              <w:autoSpaceDE w:val="0"/>
              <w:autoSpaceDN w:val="0"/>
              <w:bidi w:val="0"/>
              <w:adjustRightInd w:val="0"/>
              <w:snapToGrid w:val="0"/>
              <w:spacing w:before="120" w:after="0" w:line="280" w:lineRule="atLeast"/>
              <w:rPr>
                <w:rFonts w:ascii="Times New Roman" w:hAnsi="Times New Roman"/>
                <w:b/>
                <w:sz w:val="20"/>
                <w:szCs w:val="20"/>
                <w:highlight w:val="darkYellow"/>
              </w:rPr>
            </w:pPr>
            <w:r>
              <w:rPr>
                <w:rFonts w:ascii="Times New Roman" w:hAnsi="Times New Roman"/>
                <w:b/>
                <w:sz w:val="20"/>
                <w:szCs w:val="20"/>
                <w:highlight w:val="darkYellow"/>
              </w:rPr>
              <w:t>Working assumption:</w:t>
            </w:r>
          </w:p>
          <w:p>
            <w:pPr>
              <w:pStyle w:val="114"/>
              <w:keepNext w:val="0"/>
              <w:keepLines w:val="0"/>
              <w:pageBreakBefore w:val="0"/>
              <w:widowControl/>
              <w:numPr>
                <w:ilvl w:val="0"/>
                <w:numId w:val="10"/>
              </w:numPr>
              <w:kinsoku/>
              <w:wordWrap/>
              <w:topLinePunct w:val="0"/>
              <w:autoSpaceDE w:val="0"/>
              <w:autoSpaceDN w:val="0"/>
              <w:bidi w:val="0"/>
              <w:adjustRightInd w:val="0"/>
              <w:snapToGrid w:val="0"/>
              <w:spacing w:before="120" w:after="0" w:line="259" w:lineRule="auto"/>
              <w:ind w:leftChars="0"/>
              <w:jc w:val="both"/>
              <w:rPr>
                <w:sz w:val="20"/>
                <w:szCs w:val="20"/>
                <w:lang w:eastAsia="zh-CN"/>
              </w:rPr>
            </w:pPr>
            <w:r>
              <w:rPr>
                <w:sz w:val="20"/>
                <w:szCs w:val="20"/>
                <w:lang w:eastAsia="zh-CN"/>
              </w:rPr>
              <w:t>The action of group common TPC commands with format 2_2 does not constitute an event that violates power consistency and phase continuity.</w:t>
            </w:r>
          </w:p>
          <w:p>
            <w:pPr>
              <w:pStyle w:val="114"/>
              <w:keepNext w:val="0"/>
              <w:keepLines w:val="0"/>
              <w:pageBreakBefore w:val="0"/>
              <w:widowControl/>
              <w:numPr>
                <w:ilvl w:val="1"/>
                <w:numId w:val="11"/>
              </w:numPr>
              <w:kinsoku/>
              <w:wordWrap/>
              <w:topLinePunct w:val="0"/>
              <w:autoSpaceDE w:val="0"/>
              <w:autoSpaceDN w:val="0"/>
              <w:bidi w:val="0"/>
              <w:adjustRightInd w:val="0"/>
              <w:snapToGrid w:val="0"/>
              <w:spacing w:before="120" w:after="0" w:line="280" w:lineRule="atLeast"/>
              <w:ind w:left="780" w:leftChars="0"/>
              <w:jc w:val="both"/>
              <w:rPr>
                <w:sz w:val="20"/>
                <w:szCs w:val="20"/>
              </w:rPr>
            </w:pPr>
            <w:r>
              <w:rPr>
                <w:sz w:val="20"/>
                <w:szCs w:val="20"/>
                <w:lang w:eastAsia="zh-CN"/>
              </w:rPr>
              <w:t xml:space="preserve">If UE is configured to </w:t>
            </w:r>
            <w:r>
              <w:rPr>
                <w:bCs/>
                <w:sz w:val="20"/>
                <w:szCs w:val="20"/>
              </w:rPr>
              <w:t>accumulate TPC commands,</w:t>
            </w:r>
          </w:p>
          <w:p>
            <w:pPr>
              <w:keepNext w:val="0"/>
              <w:keepLines w:val="0"/>
              <w:pageBreakBefore w:val="0"/>
              <w:widowControl/>
              <w:numPr>
                <w:ilvl w:val="2"/>
                <w:numId w:val="12"/>
              </w:numPr>
              <w:kinsoku/>
              <w:wordWrap/>
              <w:topLinePunct w:val="0"/>
              <w:autoSpaceDE w:val="0"/>
              <w:autoSpaceDN w:val="0"/>
              <w:bidi w:val="0"/>
              <w:adjustRightInd w:val="0"/>
              <w:snapToGrid w:val="0"/>
              <w:spacing w:before="120" w:after="0" w:line="280" w:lineRule="atLeast"/>
              <w:jc w:val="both"/>
              <w:rPr>
                <w:rFonts w:ascii="Times New Roman" w:hAnsi="Times New Roman" w:eastAsia="宋体"/>
                <w:sz w:val="20"/>
                <w:szCs w:val="20"/>
              </w:rPr>
            </w:pPr>
            <w:r>
              <w:rPr>
                <w:rFonts w:ascii="Times New Roman" w:hAnsi="Times New Roman" w:eastAsia="宋体"/>
                <w:sz w:val="20"/>
                <w:szCs w:val="20"/>
              </w:rPr>
              <w:t>If UE receives TPC commands that would take into effect during a configured TDW, UE accumulates TPC commands without taking effect during the current configured TDW. TPC commands take effect after the current configured TDW.</w:t>
            </w:r>
          </w:p>
          <w:p>
            <w:pPr>
              <w:pStyle w:val="114"/>
              <w:keepNext w:val="0"/>
              <w:keepLines w:val="0"/>
              <w:pageBreakBefore w:val="0"/>
              <w:widowControl/>
              <w:numPr>
                <w:ilvl w:val="1"/>
                <w:numId w:val="11"/>
              </w:numPr>
              <w:kinsoku/>
              <w:wordWrap/>
              <w:topLinePunct w:val="0"/>
              <w:autoSpaceDE w:val="0"/>
              <w:autoSpaceDN w:val="0"/>
              <w:bidi w:val="0"/>
              <w:adjustRightInd w:val="0"/>
              <w:snapToGrid w:val="0"/>
              <w:spacing w:before="120" w:after="0" w:line="280" w:lineRule="atLeast"/>
              <w:ind w:left="780" w:leftChars="0"/>
              <w:jc w:val="both"/>
              <w:rPr>
                <w:sz w:val="20"/>
                <w:szCs w:val="20"/>
                <w:lang w:eastAsia="zh-CN"/>
              </w:rPr>
            </w:pPr>
            <w:r>
              <w:rPr>
                <w:sz w:val="20"/>
                <w:szCs w:val="20"/>
                <w:lang w:eastAsia="zh-CN"/>
              </w:rPr>
              <w:t>If UE is not configured to accumulate TPC commands</w:t>
            </w:r>
          </w:p>
          <w:p>
            <w:pPr>
              <w:keepNext w:val="0"/>
              <w:keepLines w:val="0"/>
              <w:pageBreakBefore w:val="0"/>
              <w:widowControl/>
              <w:numPr>
                <w:ilvl w:val="2"/>
                <w:numId w:val="12"/>
              </w:numPr>
              <w:kinsoku/>
              <w:wordWrap/>
              <w:topLinePunct w:val="0"/>
              <w:autoSpaceDE w:val="0"/>
              <w:autoSpaceDN w:val="0"/>
              <w:bidi w:val="0"/>
              <w:adjustRightInd w:val="0"/>
              <w:snapToGrid w:val="0"/>
              <w:spacing w:before="120" w:after="0" w:line="280" w:lineRule="atLeast"/>
              <w:jc w:val="both"/>
              <w:rPr>
                <w:rFonts w:hint="default" w:cs="Times New Roman"/>
                <w:i/>
                <w:iCs/>
                <w:sz w:val="20"/>
                <w:szCs w:val="20"/>
                <w:vertAlign w:val="baseline"/>
                <w:lang w:val="en-US" w:eastAsia="zh-CN"/>
              </w:rPr>
            </w:pPr>
            <w:r>
              <w:rPr>
                <w:rFonts w:ascii="Times New Roman" w:hAnsi="Times New Roman" w:eastAsia="宋体"/>
                <w:sz w:val="20"/>
                <w:szCs w:val="20"/>
              </w:rPr>
              <w:t xml:space="preserve">the last TPC command that would take effect within a configured TDW supersedes all previous TPC commands that take effect within that configured TDW and only the last TPC command is applied by the UE after the current configured TDW. </w:t>
            </w:r>
          </w:p>
          <w:p>
            <w:pPr>
              <w:keepNext w:val="0"/>
              <w:keepLines w:val="0"/>
              <w:pageBreakBefore w:val="0"/>
              <w:widowControl/>
              <w:numPr>
                <w:ilvl w:val="2"/>
                <w:numId w:val="12"/>
              </w:numPr>
              <w:kinsoku/>
              <w:wordWrap/>
              <w:topLinePunct w:val="0"/>
              <w:autoSpaceDE w:val="0"/>
              <w:autoSpaceDN w:val="0"/>
              <w:bidi w:val="0"/>
              <w:adjustRightInd w:val="0"/>
              <w:snapToGrid w:val="0"/>
              <w:spacing w:before="120" w:after="0" w:line="280" w:lineRule="atLeast"/>
              <w:jc w:val="both"/>
              <w:rPr>
                <w:rFonts w:hint="default" w:cs="Times New Roman"/>
                <w:i/>
                <w:iCs/>
                <w:vertAlign w:val="baseline"/>
                <w:lang w:val="en-US" w:eastAsia="zh-CN"/>
              </w:rPr>
            </w:pPr>
            <w:r>
              <w:rPr>
                <w:rFonts w:ascii="Times New Roman" w:hAnsi="Times New Roman" w:eastAsia="宋体"/>
                <w:strike/>
                <w:dstrike w:val="0"/>
                <w:sz w:val="20"/>
                <w:szCs w:val="20"/>
              </w:rPr>
              <w:t>FFS: no more than 1 TPC command is expected to take effect during a configured TDW.</w:t>
            </w:r>
          </w:p>
        </w:tc>
      </w:tr>
    </w:tbl>
    <w:p>
      <w:pPr>
        <w:bidi w:val="0"/>
        <w:rPr>
          <w:rFonts w:hint="default"/>
          <w:i/>
          <w:iCs/>
          <w:lang w:val="en-US" w:eastAsia="zh-CN"/>
        </w:rPr>
      </w:pPr>
    </w:p>
    <w:p>
      <w:pPr>
        <w:pStyle w:val="114"/>
        <w:keepNext w:val="0"/>
        <w:keepLines w:val="0"/>
        <w:pageBreakBefore w:val="0"/>
        <w:widowControl/>
        <w:numPr>
          <w:ilvl w:val="0"/>
          <w:numId w:val="0"/>
        </w:numPr>
        <w:kinsoku/>
        <w:wordWrap/>
        <w:topLinePunct w:val="0"/>
        <w:autoSpaceDE/>
        <w:autoSpaceDN/>
        <w:bidi w:val="0"/>
        <w:adjustRightInd/>
        <w:snapToGrid w:val="0"/>
        <w:spacing w:before="120" w:after="120" w:line="240" w:lineRule="auto"/>
        <w:ind w:leftChars="0"/>
        <w:rPr>
          <w:rFonts w:hint="default" w:ascii="Times New Roman" w:hAnsi="Times New Roman" w:cs="Times New Roman"/>
          <w:i/>
          <w:iCs/>
          <w:sz w:val="20"/>
          <w:szCs w:val="20"/>
          <w:lang w:val="en-US" w:eastAsia="zh-CN"/>
        </w:rPr>
      </w:pPr>
      <w:r>
        <w:rPr>
          <w:rFonts w:hint="default" w:ascii="Times New Roman" w:hAnsi="Times New Roman" w:eastAsia="宋体" w:cs="Times New Roman"/>
          <w:b/>
          <w:i/>
          <w:iCs/>
          <w:sz w:val="20"/>
          <w:szCs w:val="20"/>
          <w:lang w:val="en-US" w:eastAsia="zh-CN"/>
        </w:rPr>
        <w:t xml:space="preserve">Proposal 2: </w:t>
      </w:r>
      <w:r>
        <w:rPr>
          <w:rFonts w:hint="default" w:ascii="Times New Roman" w:hAnsi="Times New Roman" w:eastAsia="宋体" w:cs="Times New Roman"/>
          <w:b w:val="0"/>
          <w:bCs/>
          <w:i/>
          <w:iCs/>
          <w:sz w:val="20"/>
          <w:szCs w:val="20"/>
          <w:lang w:val="en-US" w:eastAsia="zh-CN"/>
        </w:rPr>
        <w:t>For DG PUSCH or PUCCH associated with a DCI, Keep Rel-15/16 legacy power control procedure.</w:t>
      </w:r>
    </w:p>
    <w:p>
      <w:pPr>
        <w:widowControl/>
        <w:numPr>
          <w:ilvl w:val="0"/>
          <w:numId w:val="0"/>
        </w:numPr>
        <w:autoSpaceDE w:val="0"/>
        <w:autoSpaceDN w:val="0"/>
        <w:adjustRightInd w:val="0"/>
        <w:snapToGrid w:val="0"/>
        <w:spacing w:after="120"/>
        <w:ind w:leftChars="0"/>
        <w:rPr>
          <w:rFonts w:hint="default" w:ascii="Times New Roman" w:hAnsi="Times New Roman" w:cs="Times New Roman"/>
          <w:b/>
          <w:i/>
          <w:iCs/>
          <w:color w:val="auto"/>
          <w:sz w:val="20"/>
          <w:szCs w:val="20"/>
        </w:rPr>
      </w:pPr>
      <w:r>
        <w:rPr>
          <w:rFonts w:hint="default" w:ascii="Times New Roman" w:hAnsi="Times New Roman" w:eastAsia="宋体" w:cs="Times New Roman"/>
          <w:b/>
          <w:i/>
          <w:iCs/>
          <w:sz w:val="20"/>
          <w:szCs w:val="20"/>
          <w:lang w:val="en-US" w:eastAsia="zh-CN"/>
        </w:rPr>
        <w:t xml:space="preserve">Proposal </w:t>
      </w:r>
      <w:r>
        <w:rPr>
          <w:rFonts w:hint="default" w:ascii="Times New Roman" w:hAnsi="Times New Roman" w:cs="Times New Roman"/>
          <w:b/>
          <w:i/>
          <w:iCs/>
          <w:sz w:val="20"/>
          <w:szCs w:val="20"/>
          <w:lang w:val="en-US" w:eastAsia="zh-CN"/>
        </w:rPr>
        <w:t>3</w:t>
      </w:r>
      <w:r>
        <w:rPr>
          <w:rFonts w:hint="default" w:ascii="Times New Roman" w:hAnsi="Times New Roman" w:eastAsia="宋体" w:cs="Times New Roman"/>
          <w:b/>
          <w:i/>
          <w:iCs/>
          <w:sz w:val="20"/>
          <w:szCs w:val="20"/>
          <w:lang w:val="en-US" w:eastAsia="zh-CN"/>
        </w:rPr>
        <w:t xml:space="preserve">: </w:t>
      </w:r>
      <w:r>
        <w:rPr>
          <w:rFonts w:hint="default" w:ascii="Times New Roman" w:hAnsi="Times New Roman" w:cs="Times New Roman"/>
          <w:i/>
          <w:iCs/>
          <w:sz w:val="20"/>
          <w:szCs w:val="20"/>
        </w:rPr>
        <w:t>For</w:t>
      </w:r>
      <w:r>
        <w:rPr>
          <w:rFonts w:hint="default" w:ascii="Times New Roman" w:hAnsi="Times New Roman" w:cs="Times New Roman"/>
          <w:b/>
          <w:i/>
          <w:iCs/>
          <w:sz w:val="20"/>
          <w:szCs w:val="20"/>
        </w:rPr>
        <w:t xml:space="preserve"> </w:t>
      </w:r>
      <w:r>
        <w:rPr>
          <w:rFonts w:hint="default" w:ascii="Times New Roman" w:hAnsi="Times New Roman" w:eastAsia="宋体" w:cs="Times New Roman"/>
          <w:i/>
          <w:iCs/>
          <w:kern w:val="0"/>
          <w:sz w:val="20"/>
          <w:szCs w:val="20"/>
        </w:rPr>
        <w:t>group comm</w:t>
      </w:r>
      <w:r>
        <w:rPr>
          <w:rFonts w:hint="default" w:ascii="Times New Roman" w:hAnsi="Times New Roman" w:eastAsia="宋体" w:cs="Times New Roman"/>
          <w:i/>
          <w:iCs/>
          <w:color w:val="auto"/>
          <w:kern w:val="0"/>
          <w:sz w:val="20"/>
          <w:szCs w:val="20"/>
        </w:rPr>
        <w:t xml:space="preserve">on TPC commands with format 2_2 for CG-PUSCH, if UE is configured to </w:t>
      </w:r>
      <w:r>
        <w:rPr>
          <w:rFonts w:hint="default" w:ascii="Times New Roman" w:hAnsi="Times New Roman" w:eastAsia="宋体" w:cs="Times New Roman"/>
          <w:bCs/>
          <w:i/>
          <w:iCs/>
          <w:color w:val="auto"/>
          <w:kern w:val="0"/>
          <w:sz w:val="20"/>
          <w:szCs w:val="20"/>
          <w:lang w:eastAsia="en-US"/>
        </w:rPr>
        <w:t>accumulate TPC commands,</w:t>
      </w:r>
    </w:p>
    <w:p>
      <w:pPr>
        <w:pStyle w:val="114"/>
        <w:numPr>
          <w:ilvl w:val="0"/>
          <w:numId w:val="15"/>
        </w:numPr>
        <w:autoSpaceDE/>
        <w:autoSpaceDN/>
        <w:adjustRightInd/>
        <w:snapToGrid/>
        <w:spacing w:before="156" w:after="0" w:line="240" w:lineRule="auto"/>
        <w:ind w:firstLineChars="0"/>
        <w:rPr>
          <w:rFonts w:hint="default" w:ascii="Times New Roman" w:hAnsi="Times New Roman" w:cs="Times New Roman"/>
          <w:i/>
          <w:iCs/>
          <w:color w:val="auto"/>
          <w:sz w:val="20"/>
          <w:szCs w:val="20"/>
        </w:rPr>
      </w:pPr>
      <w:r>
        <w:rPr>
          <w:rFonts w:hint="default" w:ascii="Times New Roman" w:hAnsi="Times New Roman" w:cs="Times New Roman"/>
          <w:i/>
          <w:iCs/>
          <w:color w:val="auto"/>
          <w:sz w:val="20"/>
          <w:szCs w:val="20"/>
          <w:lang w:val="en-GB"/>
        </w:rPr>
        <w:t xml:space="preserve">For a transmission occasion </w:t>
      </w:r>
      <m:oMath>
        <m:r>
          <w:rPr>
            <w:rFonts w:hint="default" w:ascii="Cambria Math" w:hAnsi="Cambria Math" w:cs="Times New Roman"/>
            <w:color w:val="auto"/>
            <w:sz w:val="20"/>
            <w:szCs w:val="20"/>
            <w:lang w:val="en-GB"/>
          </w:rPr>
          <m:t>i</m:t>
        </m:r>
      </m:oMath>
      <w:r>
        <w:rPr>
          <w:rFonts w:hint="default" w:ascii="Times New Roman" w:hAnsi="Times New Roman" w:cs="Times New Roman"/>
          <w:i/>
          <w:iCs/>
          <w:color w:val="auto"/>
          <w:sz w:val="20"/>
          <w:szCs w:val="20"/>
          <w:lang w:val="en-GB"/>
        </w:rPr>
        <w:t xml:space="preserve"> occurs within a nominal time domain window, </w:t>
      </w:r>
      <m:oMath>
        <m:sSub>
          <m:sSubPr>
            <m:ctrlPr>
              <w:rPr>
                <w:rFonts w:hint="default" w:ascii="Cambria Math" w:hAnsi="Cambria Math" w:cs="Times New Roman"/>
                <w:i/>
                <w:iCs/>
                <w:color w:val="auto"/>
                <w:sz w:val="20"/>
                <w:szCs w:val="20"/>
              </w:rPr>
            </m:ctrlPr>
          </m:sSubPr>
          <m:e>
            <m:r>
              <w:rPr>
                <w:rFonts w:hint="default" w:ascii="Cambria Math" w:hAnsi="Cambria Math" w:cs="Times New Roman"/>
                <w:color w:val="auto"/>
                <w:sz w:val="20"/>
                <w:szCs w:val="20"/>
              </w:rPr>
              <m:t>f</m:t>
            </m:r>
            <m:ctrlPr>
              <w:rPr>
                <w:rFonts w:hint="default" w:ascii="Cambria Math" w:hAnsi="Cambria Math" w:cs="Times New Roman"/>
                <w:i/>
                <w:iCs/>
                <w:color w:val="auto"/>
                <w:sz w:val="20"/>
                <w:szCs w:val="20"/>
              </w:rPr>
            </m:ctrlPr>
          </m:e>
          <m:sub>
            <m:r>
              <w:rPr>
                <w:rFonts w:hint="default" w:ascii="Cambria Math" w:hAnsi="Cambria Math" w:cs="Times New Roman"/>
                <w:color w:val="auto"/>
                <w:sz w:val="20"/>
                <w:szCs w:val="20"/>
              </w:rPr>
              <m:t>i</m:t>
            </m:r>
            <m:ctrlPr>
              <w:rPr>
                <w:rFonts w:hint="default" w:ascii="Cambria Math" w:hAnsi="Cambria Math" w:cs="Times New Roman"/>
                <w:i/>
                <w:iCs/>
                <w:color w:val="auto"/>
                <w:sz w:val="20"/>
                <w:szCs w:val="20"/>
              </w:rPr>
            </m:ctrlPr>
          </m:sub>
        </m:sSub>
        <m:r>
          <w:rPr>
            <w:rFonts w:hint="default" w:ascii="Cambria Math" w:hAnsi="Cambria Math" w:cs="Times New Roman"/>
            <w:color w:val="auto"/>
            <w:sz w:val="20"/>
            <w:szCs w:val="20"/>
            <w:lang w:val="en-GB"/>
          </w:rPr>
          <m:t>=</m:t>
        </m:r>
        <m:sSub>
          <m:sSubPr>
            <m:ctrlPr>
              <w:rPr>
                <w:rFonts w:hint="default" w:ascii="Cambria Math" w:hAnsi="Cambria Math" w:cs="Times New Roman"/>
                <w:i/>
                <w:iCs/>
                <w:color w:val="auto"/>
                <w:sz w:val="20"/>
                <w:szCs w:val="20"/>
              </w:rPr>
            </m:ctrlPr>
          </m:sSubPr>
          <m:e>
            <m:r>
              <w:rPr>
                <w:rFonts w:hint="default" w:ascii="Cambria Math" w:hAnsi="Cambria Math" w:cs="Times New Roman"/>
                <w:color w:val="auto"/>
                <w:sz w:val="20"/>
                <w:szCs w:val="20"/>
              </w:rPr>
              <m:t>f</m:t>
            </m:r>
            <m:ctrlPr>
              <w:rPr>
                <w:rFonts w:hint="default" w:ascii="Cambria Math" w:hAnsi="Cambria Math" w:cs="Times New Roman"/>
                <w:i/>
                <w:iCs/>
                <w:color w:val="auto"/>
                <w:sz w:val="20"/>
                <w:szCs w:val="20"/>
              </w:rPr>
            </m:ctrlPr>
          </m:e>
          <m:sub>
            <m:r>
              <w:rPr>
                <w:rFonts w:hint="default" w:ascii="Cambria Math" w:hAnsi="Cambria Math" w:cs="Times New Roman"/>
                <w:color w:val="auto"/>
                <w:sz w:val="20"/>
                <w:szCs w:val="20"/>
                <w:lang w:val="en-GB"/>
              </w:rPr>
              <m:t xml:space="preserve"> </m:t>
            </m:r>
            <m:sSub>
              <m:sSubPr>
                <m:ctrlPr>
                  <w:rPr>
                    <w:rFonts w:hint="default" w:ascii="Cambria Math" w:hAnsi="Cambria Math" w:cs="Times New Roman"/>
                    <w:i/>
                    <w:iCs/>
                    <w:color w:val="auto"/>
                    <w:sz w:val="20"/>
                    <w:szCs w:val="20"/>
                    <w:lang w:val="en-GB"/>
                  </w:rPr>
                </m:ctrlPr>
              </m:sSubPr>
              <m:e>
                <m:r>
                  <w:rPr>
                    <w:rFonts w:hint="default" w:ascii="Cambria Math" w:hAnsi="Cambria Math" w:cs="Times New Roman"/>
                    <w:color w:val="auto"/>
                    <w:sz w:val="20"/>
                    <w:szCs w:val="20"/>
                    <w:lang w:val="en-GB"/>
                  </w:rPr>
                  <m:t>i</m:t>
                </m:r>
                <m:ctrlPr>
                  <w:rPr>
                    <w:rFonts w:hint="default" w:ascii="Cambria Math" w:hAnsi="Cambria Math" w:cs="Times New Roman"/>
                    <w:i/>
                    <w:iCs/>
                    <w:color w:val="auto"/>
                    <w:sz w:val="20"/>
                    <w:szCs w:val="20"/>
                    <w:lang w:val="en-GB"/>
                  </w:rPr>
                </m:ctrlPr>
              </m:e>
              <m:sub>
                <m:r>
                  <w:rPr>
                    <w:rFonts w:hint="default" w:ascii="Cambria Math" w:hAnsi="Cambria Math" w:cs="Times New Roman"/>
                    <w:color w:val="auto"/>
                    <w:sz w:val="20"/>
                    <w:szCs w:val="20"/>
                    <w:lang w:val="en-GB"/>
                  </w:rPr>
                  <m:t>1</m:t>
                </m:r>
                <m:ctrlPr>
                  <w:rPr>
                    <w:rFonts w:hint="default" w:ascii="Cambria Math" w:hAnsi="Cambria Math" w:cs="Times New Roman"/>
                    <w:i/>
                    <w:iCs/>
                    <w:color w:val="auto"/>
                    <w:sz w:val="20"/>
                    <w:szCs w:val="20"/>
                    <w:lang w:val="en-GB"/>
                  </w:rPr>
                </m:ctrlPr>
              </m:sub>
            </m:sSub>
            <m:ctrlPr>
              <w:rPr>
                <w:rFonts w:hint="default" w:ascii="Cambria Math" w:hAnsi="Cambria Math" w:cs="Times New Roman"/>
                <w:i/>
                <w:iCs/>
                <w:color w:val="auto"/>
                <w:sz w:val="20"/>
                <w:szCs w:val="20"/>
              </w:rPr>
            </m:ctrlPr>
          </m:sub>
        </m:sSub>
      </m:oMath>
      <w:r>
        <w:rPr>
          <w:rFonts w:hint="default" w:ascii="Times New Roman" w:hAnsi="Times New Roman" w:cs="Times New Roman"/>
          <w:i/>
          <w:iCs/>
          <w:color w:val="auto"/>
          <w:sz w:val="20"/>
          <w:szCs w:val="20"/>
          <w:lang w:val="en-GB"/>
        </w:rPr>
        <w:t xml:space="preserve">, where transmission occasion </w:t>
      </w:r>
      <m:oMath>
        <m:sSub>
          <m:sSubPr>
            <m:ctrlPr>
              <w:rPr>
                <w:rFonts w:hint="default" w:ascii="Cambria Math" w:hAnsi="Cambria Math" w:cs="Times New Roman"/>
                <w:i/>
                <w:iCs/>
                <w:color w:val="auto"/>
                <w:sz w:val="20"/>
                <w:szCs w:val="20"/>
                <w:lang w:val="en-GB"/>
              </w:rPr>
            </m:ctrlPr>
          </m:sSubPr>
          <m:e>
            <m:r>
              <w:rPr>
                <w:rFonts w:hint="default" w:ascii="Cambria Math" w:hAnsi="Cambria Math" w:cs="Times New Roman"/>
                <w:color w:val="auto"/>
                <w:sz w:val="20"/>
                <w:szCs w:val="20"/>
                <w:lang w:val="en-GB"/>
              </w:rPr>
              <m:t>i</m:t>
            </m:r>
            <m:ctrlPr>
              <w:rPr>
                <w:rFonts w:hint="default" w:ascii="Cambria Math" w:hAnsi="Cambria Math" w:cs="Times New Roman"/>
                <w:i/>
                <w:iCs/>
                <w:color w:val="auto"/>
                <w:sz w:val="20"/>
                <w:szCs w:val="20"/>
                <w:lang w:val="en-GB"/>
              </w:rPr>
            </m:ctrlPr>
          </m:e>
          <m:sub>
            <m:r>
              <w:rPr>
                <w:rFonts w:hint="default" w:ascii="Cambria Math" w:hAnsi="Cambria Math" w:cs="Times New Roman"/>
                <w:color w:val="auto"/>
                <w:sz w:val="20"/>
                <w:szCs w:val="20"/>
                <w:lang w:val="en-GB"/>
              </w:rPr>
              <m:t>1</m:t>
            </m:r>
            <m:ctrlPr>
              <w:rPr>
                <w:rFonts w:hint="default" w:ascii="Cambria Math" w:hAnsi="Cambria Math" w:cs="Times New Roman"/>
                <w:i/>
                <w:iCs/>
                <w:color w:val="auto"/>
                <w:sz w:val="20"/>
                <w:szCs w:val="20"/>
                <w:lang w:val="en-GB"/>
              </w:rPr>
            </m:ctrlPr>
          </m:sub>
        </m:sSub>
      </m:oMath>
      <w:r>
        <w:rPr>
          <w:rFonts w:hint="default" w:ascii="Times New Roman" w:hAnsi="Times New Roman" w:cs="Times New Roman"/>
          <w:i/>
          <w:iCs/>
          <w:color w:val="auto"/>
          <w:sz w:val="20"/>
          <w:szCs w:val="20"/>
          <w:lang w:val="en-GB"/>
        </w:rPr>
        <w:t xml:space="preserve"> is a first transmission occasion within the nominal time domain window.</w:t>
      </w:r>
    </w:p>
    <w:p>
      <w:pPr>
        <w:pStyle w:val="114"/>
        <w:numPr>
          <w:ilvl w:val="0"/>
          <w:numId w:val="15"/>
        </w:numPr>
        <w:autoSpaceDE/>
        <w:autoSpaceDN/>
        <w:adjustRightInd/>
        <w:snapToGrid/>
        <w:spacing w:before="156" w:after="0" w:line="240" w:lineRule="auto"/>
        <w:ind w:firstLineChars="0"/>
        <w:rPr>
          <w:rFonts w:hint="default" w:ascii="Times New Roman" w:hAnsi="Times New Roman" w:cs="Times New Roman"/>
          <w:i/>
          <w:iCs/>
          <w:sz w:val="20"/>
          <w:szCs w:val="20"/>
          <w:lang w:val="en-US" w:eastAsia="zh-CN"/>
        </w:rPr>
      </w:pPr>
      <w:r>
        <w:rPr>
          <w:rFonts w:hint="default" w:ascii="Times New Roman" w:hAnsi="Times New Roman" w:cs="Times New Roman"/>
          <w:i/>
          <w:iCs/>
          <w:color w:val="auto"/>
          <w:sz w:val="20"/>
          <w:szCs w:val="20"/>
          <w:lang w:val="en-GB"/>
        </w:rPr>
        <w:t xml:space="preserve">For the first transmission occasion </w:t>
      </w:r>
      <m:oMath>
        <m:r>
          <w:rPr>
            <w:rFonts w:hint="default" w:ascii="Cambria Math" w:hAnsi="Cambria Math" w:cs="Times New Roman"/>
            <w:color w:val="auto"/>
            <w:sz w:val="20"/>
            <w:szCs w:val="20"/>
            <w:lang w:val="en-GB"/>
          </w:rPr>
          <m:t>k</m:t>
        </m:r>
      </m:oMath>
      <w:r>
        <w:rPr>
          <w:rFonts w:hint="default" w:ascii="Times New Roman" w:hAnsi="Times New Roman" w:cs="Times New Roman"/>
          <w:i/>
          <w:iCs/>
          <w:color w:val="auto"/>
          <w:sz w:val="20"/>
          <w:szCs w:val="20"/>
          <w:lang w:val="en-GB"/>
        </w:rPr>
        <w:t xml:space="preserve"> occuring after the nominal time domain window, </w:t>
      </w:r>
      <m:oMath>
        <m:sSub>
          <m:sSubPr>
            <m:ctrlPr>
              <w:rPr>
                <w:rFonts w:hint="default" w:ascii="Cambria Math" w:hAnsi="Cambria Math" w:cs="Times New Roman"/>
                <w:i/>
                <w:iCs/>
                <w:color w:val="auto"/>
                <w:sz w:val="20"/>
                <w:szCs w:val="20"/>
              </w:rPr>
            </m:ctrlPr>
          </m:sSubPr>
          <m:e>
            <m:r>
              <w:rPr>
                <w:rFonts w:hint="default" w:ascii="Cambria Math" w:hAnsi="Cambria Math" w:cs="Times New Roman"/>
                <w:color w:val="auto"/>
                <w:sz w:val="20"/>
                <w:szCs w:val="20"/>
              </w:rPr>
              <m:t>f</m:t>
            </m:r>
            <m:ctrlPr>
              <w:rPr>
                <w:rFonts w:hint="default" w:ascii="Cambria Math" w:hAnsi="Cambria Math" w:cs="Times New Roman"/>
                <w:i/>
                <w:iCs/>
                <w:color w:val="auto"/>
                <w:sz w:val="20"/>
                <w:szCs w:val="20"/>
              </w:rPr>
            </m:ctrlPr>
          </m:e>
          <m:sub>
            <m:r>
              <w:rPr>
                <w:rFonts w:hint="default" w:ascii="Cambria Math" w:hAnsi="Cambria Math" w:cs="Times New Roman"/>
                <w:color w:val="auto"/>
                <w:sz w:val="20"/>
                <w:szCs w:val="20"/>
              </w:rPr>
              <m:t>k</m:t>
            </m:r>
            <m:ctrlPr>
              <w:rPr>
                <w:rFonts w:hint="default" w:ascii="Cambria Math" w:hAnsi="Cambria Math" w:cs="Times New Roman"/>
                <w:i/>
                <w:iCs/>
                <w:color w:val="auto"/>
                <w:sz w:val="20"/>
                <w:szCs w:val="20"/>
              </w:rPr>
            </m:ctrlPr>
          </m:sub>
        </m:sSub>
        <m:r>
          <w:rPr>
            <w:rFonts w:hint="default" w:ascii="Cambria Math" w:hAnsi="Cambria Math" w:cs="Times New Roman"/>
            <w:color w:val="auto"/>
            <w:sz w:val="20"/>
            <w:szCs w:val="20"/>
            <w:lang w:val="en-GB"/>
          </w:rPr>
          <m:t>=</m:t>
        </m:r>
        <m:sSub>
          <m:sSubPr>
            <m:ctrlPr>
              <w:rPr>
                <w:rFonts w:hint="default" w:ascii="Cambria Math" w:hAnsi="Cambria Math" w:cs="Times New Roman"/>
                <w:i/>
                <w:iCs/>
                <w:color w:val="auto"/>
                <w:sz w:val="20"/>
                <w:szCs w:val="20"/>
              </w:rPr>
            </m:ctrlPr>
          </m:sSubPr>
          <m:e>
            <m:r>
              <w:rPr>
                <w:rFonts w:hint="default" w:ascii="Cambria Math" w:hAnsi="Cambria Math" w:cs="Times New Roman"/>
                <w:color w:val="auto"/>
                <w:sz w:val="20"/>
                <w:szCs w:val="20"/>
              </w:rPr>
              <m:t>f</m:t>
            </m:r>
            <m:ctrlPr>
              <w:rPr>
                <w:rFonts w:hint="default" w:ascii="Cambria Math" w:hAnsi="Cambria Math" w:cs="Times New Roman"/>
                <w:i/>
                <w:iCs/>
                <w:color w:val="auto"/>
                <w:sz w:val="20"/>
                <w:szCs w:val="20"/>
              </w:rPr>
            </m:ctrlPr>
          </m:e>
          <m:sub>
            <m:sSub>
              <m:sSubPr>
                <m:ctrlPr>
                  <w:rPr>
                    <w:rFonts w:hint="default" w:ascii="Cambria Math" w:hAnsi="Cambria Math" w:cs="Times New Roman"/>
                    <w:i/>
                    <w:iCs/>
                    <w:color w:val="auto"/>
                    <w:sz w:val="20"/>
                    <w:szCs w:val="20"/>
                    <w:lang w:val="en-GB"/>
                  </w:rPr>
                </m:ctrlPr>
              </m:sSubPr>
              <m:e>
                <m:r>
                  <w:rPr>
                    <w:rFonts w:hint="default" w:ascii="Cambria Math" w:hAnsi="Cambria Math" w:cs="Times New Roman"/>
                    <w:color w:val="auto"/>
                    <w:sz w:val="20"/>
                    <w:szCs w:val="20"/>
                    <w:lang w:val="en-GB"/>
                  </w:rPr>
                  <m:t>i</m:t>
                </m:r>
                <m:ctrlPr>
                  <w:rPr>
                    <w:rFonts w:hint="default" w:ascii="Cambria Math" w:hAnsi="Cambria Math" w:cs="Times New Roman"/>
                    <w:i/>
                    <w:iCs/>
                    <w:color w:val="auto"/>
                    <w:sz w:val="20"/>
                    <w:szCs w:val="20"/>
                    <w:lang w:val="en-GB"/>
                  </w:rPr>
                </m:ctrlPr>
              </m:e>
              <m:sub>
                <m:r>
                  <w:rPr>
                    <w:rFonts w:hint="default" w:ascii="Cambria Math" w:hAnsi="Cambria Math" w:cs="Times New Roman"/>
                    <w:color w:val="auto"/>
                    <w:sz w:val="20"/>
                    <w:szCs w:val="20"/>
                    <w:lang w:val="en-GB"/>
                  </w:rPr>
                  <m:t>1</m:t>
                </m:r>
                <m:ctrlPr>
                  <w:rPr>
                    <w:rFonts w:hint="default" w:ascii="Cambria Math" w:hAnsi="Cambria Math" w:cs="Times New Roman"/>
                    <w:i/>
                    <w:iCs/>
                    <w:color w:val="auto"/>
                    <w:sz w:val="20"/>
                    <w:szCs w:val="20"/>
                    <w:lang w:val="en-GB"/>
                  </w:rPr>
                </m:ctrlPr>
              </m:sub>
            </m:sSub>
            <m:ctrlPr>
              <w:rPr>
                <w:rFonts w:hint="default" w:ascii="Cambria Math" w:hAnsi="Cambria Math" w:cs="Times New Roman"/>
                <w:i/>
                <w:iCs/>
                <w:color w:val="auto"/>
                <w:sz w:val="20"/>
                <w:szCs w:val="20"/>
              </w:rPr>
            </m:ctrlPr>
          </m:sub>
        </m:sSub>
        <m:r>
          <w:rPr>
            <w:rFonts w:hint="default" w:ascii="Cambria Math" w:hAnsi="Cambria Math" w:cs="Times New Roman"/>
            <w:color w:val="auto"/>
            <w:sz w:val="20"/>
            <w:szCs w:val="20"/>
            <w:lang w:val="en-GB"/>
          </w:rPr>
          <m:t>+</m:t>
        </m:r>
        <m:nary>
          <m:naryPr>
            <m:chr m:val="∑"/>
            <m:limLoc m:val="undOvr"/>
            <m:subHide m:val="1"/>
            <m:supHide m:val="1"/>
            <m:ctrlPr>
              <w:rPr>
                <w:rFonts w:hint="default" w:ascii="Cambria Math" w:hAnsi="Cambria Math" w:cs="Times New Roman"/>
                <w:i/>
                <w:iCs/>
                <w:color w:val="auto"/>
                <w:sz w:val="20"/>
                <w:szCs w:val="20"/>
                <w:lang w:val="en-GB"/>
              </w:rPr>
            </m:ctrlPr>
          </m:naryPr>
          <m:sub>
            <m:ctrlPr>
              <w:rPr>
                <w:rFonts w:hint="default" w:ascii="Cambria Math" w:hAnsi="Cambria Math" w:cs="Times New Roman"/>
                <w:i/>
                <w:iCs/>
                <w:color w:val="auto"/>
                <w:sz w:val="20"/>
                <w:szCs w:val="20"/>
                <w:lang w:val="en-GB"/>
              </w:rPr>
            </m:ctrlPr>
          </m:sub>
          <m:sup>
            <m:ctrlPr>
              <w:rPr>
                <w:rFonts w:hint="default" w:ascii="Cambria Math" w:hAnsi="Cambria Math" w:cs="Times New Roman"/>
                <w:i/>
                <w:iCs/>
                <w:color w:val="auto"/>
                <w:sz w:val="20"/>
                <w:szCs w:val="20"/>
                <w:lang w:val="en-GB"/>
              </w:rPr>
            </m:ctrlPr>
          </m:sup>
          <m:e>
            <m:sSub>
              <m:sSubPr>
                <m:ctrlPr>
                  <w:rPr>
                    <w:rFonts w:hint="default" w:ascii="Cambria Math" w:hAnsi="Cambria Math" w:cs="Times New Roman"/>
                    <w:i/>
                    <w:iCs/>
                    <w:color w:val="auto"/>
                    <w:sz w:val="20"/>
                    <w:szCs w:val="20"/>
                  </w:rPr>
                </m:ctrlPr>
              </m:sSubPr>
              <m:e>
                <m:r>
                  <w:rPr>
                    <w:rFonts w:hint="default" w:ascii="Cambria Math" w:hAnsi="Cambria Math" w:cs="Times New Roman"/>
                    <w:color w:val="auto"/>
                    <w:sz w:val="20"/>
                    <w:szCs w:val="20"/>
                  </w:rPr>
                  <m:t>δ</m:t>
                </m:r>
                <m:ctrlPr>
                  <w:rPr>
                    <w:rFonts w:hint="default" w:ascii="Cambria Math" w:hAnsi="Cambria Math" w:cs="Times New Roman"/>
                    <w:i/>
                    <w:iCs/>
                    <w:color w:val="auto"/>
                    <w:sz w:val="20"/>
                    <w:szCs w:val="20"/>
                  </w:rPr>
                </m:ctrlPr>
              </m:e>
              <m:sub>
                <m:r>
                  <w:rPr>
                    <w:rFonts w:hint="default" w:ascii="Cambria Math" w:hAnsi="Cambria Math" w:cs="Times New Roman"/>
                    <w:color w:val="auto"/>
                    <w:sz w:val="20"/>
                    <w:szCs w:val="20"/>
                  </w:rPr>
                  <m:t>j</m:t>
                </m:r>
                <m:ctrlPr>
                  <w:rPr>
                    <w:rFonts w:hint="default" w:ascii="Cambria Math" w:hAnsi="Cambria Math" w:cs="Times New Roman"/>
                    <w:i/>
                    <w:iCs/>
                    <w:color w:val="auto"/>
                    <w:sz w:val="20"/>
                    <w:szCs w:val="20"/>
                  </w:rPr>
                </m:ctrlPr>
              </m:sub>
            </m:sSub>
            <m:ctrlPr>
              <w:rPr>
                <w:rFonts w:hint="default" w:ascii="Cambria Math" w:hAnsi="Cambria Math" w:cs="Times New Roman"/>
                <w:i/>
                <w:iCs/>
                <w:color w:val="auto"/>
                <w:sz w:val="20"/>
                <w:szCs w:val="20"/>
                <w:lang w:val="en-GB"/>
              </w:rPr>
            </m:ctrlPr>
          </m:e>
        </m:nary>
      </m:oMath>
      <w:r>
        <w:rPr>
          <w:rFonts w:hint="default" w:ascii="Times New Roman" w:hAnsi="Times New Roman" w:cs="Times New Roman"/>
          <w:i/>
          <w:iCs/>
          <w:color w:val="auto"/>
          <w:sz w:val="20"/>
          <w:szCs w:val="20"/>
          <w:lang w:val="en-GB"/>
        </w:rPr>
        <w:t xml:space="preserve">, where </w:t>
      </w:r>
      <m:oMath>
        <m:sSub>
          <m:sSubPr>
            <m:ctrlPr>
              <w:rPr>
                <w:rFonts w:hint="default" w:ascii="Cambria Math" w:hAnsi="Cambria Math" w:cs="Times New Roman"/>
                <w:i/>
                <w:iCs/>
                <w:color w:val="auto"/>
                <w:sz w:val="20"/>
                <w:szCs w:val="20"/>
              </w:rPr>
            </m:ctrlPr>
          </m:sSubPr>
          <m:e>
            <m:r>
              <w:rPr>
                <w:rFonts w:hint="default" w:ascii="Cambria Math" w:hAnsi="Cambria Math" w:cs="Times New Roman"/>
                <w:color w:val="auto"/>
                <w:sz w:val="20"/>
                <w:szCs w:val="20"/>
              </w:rPr>
              <m:t>δ</m:t>
            </m:r>
            <m:ctrlPr>
              <w:rPr>
                <w:rFonts w:hint="default" w:ascii="Cambria Math" w:hAnsi="Cambria Math" w:cs="Times New Roman"/>
                <w:i/>
                <w:iCs/>
                <w:color w:val="auto"/>
                <w:sz w:val="20"/>
                <w:szCs w:val="20"/>
              </w:rPr>
            </m:ctrlPr>
          </m:e>
          <m:sub>
            <m:r>
              <w:rPr>
                <w:rFonts w:hint="default" w:ascii="Cambria Math" w:hAnsi="Cambria Math" w:cs="Times New Roman"/>
                <w:color w:val="auto"/>
                <w:sz w:val="20"/>
                <w:szCs w:val="20"/>
              </w:rPr>
              <m:t>j</m:t>
            </m:r>
            <m:ctrlPr>
              <w:rPr>
                <w:rFonts w:hint="default" w:ascii="Cambria Math" w:hAnsi="Cambria Math" w:cs="Times New Roman"/>
                <w:i/>
                <w:iCs/>
                <w:color w:val="auto"/>
                <w:sz w:val="20"/>
                <w:szCs w:val="20"/>
              </w:rPr>
            </m:ctrlPr>
          </m:sub>
        </m:sSub>
      </m:oMath>
      <w:r>
        <w:rPr>
          <w:rFonts w:hint="default" w:ascii="Times New Roman" w:hAnsi="Times New Roman" w:cs="Times New Roman"/>
          <w:i/>
          <w:iCs/>
          <w:color w:val="auto"/>
          <w:sz w:val="20"/>
          <w:szCs w:val="20"/>
          <w:lang w:val="en-GB"/>
        </w:rPr>
        <w:t xml:space="preserve"> is all the TPC command values that would take effect for the transmission occasions occurring after transmission occasion </w:t>
      </w:r>
      <m:oMath>
        <m:sSub>
          <m:sSubPr>
            <m:ctrlPr>
              <w:rPr>
                <w:rFonts w:hint="default" w:ascii="Cambria Math" w:hAnsi="Cambria Math" w:cs="Times New Roman"/>
                <w:i/>
                <w:iCs/>
                <w:color w:val="auto"/>
                <w:sz w:val="20"/>
                <w:szCs w:val="20"/>
                <w:lang w:val="en-GB"/>
              </w:rPr>
            </m:ctrlPr>
          </m:sSubPr>
          <m:e>
            <m:r>
              <w:rPr>
                <w:rFonts w:hint="default" w:ascii="Cambria Math" w:hAnsi="Cambria Math" w:cs="Times New Roman"/>
                <w:color w:val="auto"/>
                <w:sz w:val="20"/>
                <w:szCs w:val="20"/>
                <w:lang w:val="en-GB"/>
              </w:rPr>
              <m:t>i</m:t>
            </m:r>
            <m:ctrlPr>
              <w:rPr>
                <w:rFonts w:hint="default" w:ascii="Cambria Math" w:hAnsi="Cambria Math" w:cs="Times New Roman"/>
                <w:i/>
                <w:iCs/>
                <w:color w:val="auto"/>
                <w:sz w:val="20"/>
                <w:szCs w:val="20"/>
                <w:lang w:val="en-GB"/>
              </w:rPr>
            </m:ctrlPr>
          </m:e>
          <m:sub>
            <m:r>
              <w:rPr>
                <w:rFonts w:hint="default" w:ascii="Cambria Math" w:hAnsi="Cambria Math" w:cs="Times New Roman"/>
                <w:color w:val="auto"/>
                <w:sz w:val="20"/>
                <w:szCs w:val="20"/>
                <w:lang w:val="en-GB"/>
              </w:rPr>
              <m:t>1</m:t>
            </m:r>
            <m:ctrlPr>
              <w:rPr>
                <w:rFonts w:hint="default" w:ascii="Cambria Math" w:hAnsi="Cambria Math" w:cs="Times New Roman"/>
                <w:i/>
                <w:iCs/>
                <w:color w:val="auto"/>
                <w:sz w:val="20"/>
                <w:szCs w:val="20"/>
                <w:lang w:val="en-GB"/>
              </w:rPr>
            </m:ctrlPr>
          </m:sub>
        </m:sSub>
      </m:oMath>
      <w:r>
        <w:rPr>
          <w:rFonts w:hint="default" w:ascii="Times New Roman" w:hAnsi="Times New Roman" w:cs="Times New Roman"/>
          <w:i/>
          <w:iCs/>
          <w:color w:val="auto"/>
          <w:sz w:val="20"/>
          <w:szCs w:val="20"/>
          <w:lang w:val="en-GB"/>
        </w:rPr>
        <w:t xml:space="preserve"> and no later than transmission occasion </w:t>
      </w:r>
      <m:oMath>
        <m:r>
          <w:rPr>
            <w:rFonts w:hint="default" w:ascii="Cambria Math" w:hAnsi="Cambria Math" w:cs="Times New Roman"/>
            <w:color w:val="auto"/>
            <w:sz w:val="20"/>
            <w:szCs w:val="20"/>
            <w:lang w:val="en-GB"/>
          </w:rPr>
          <m:t>k</m:t>
        </m:r>
      </m:oMath>
      <w:r>
        <w:rPr>
          <w:rFonts w:hint="default" w:ascii="Times New Roman" w:hAnsi="Times New Roman" w:cs="Times New Roman"/>
          <w:i/>
          <w:iCs/>
          <w:color w:val="auto"/>
          <w:sz w:val="20"/>
          <w:szCs w:val="20"/>
          <w:lang w:val="en-GB"/>
        </w:rPr>
        <w:t xml:space="preserve"> (i.e. including occasion k itself)</w:t>
      </w:r>
      <w:r>
        <w:rPr>
          <w:rFonts w:hint="default" w:ascii="Times New Roman" w:hAnsi="Times New Roman" w:eastAsia="宋体" w:cs="Times New Roman"/>
          <w:i/>
          <w:iCs/>
          <w:color w:val="auto"/>
          <w:sz w:val="20"/>
          <w:szCs w:val="20"/>
          <w:lang w:val="en-US" w:eastAsia="zh-CN"/>
        </w:rPr>
        <w:t xml:space="preserve">. </w:t>
      </w:r>
    </w:p>
    <w:p>
      <w:pPr>
        <w:pStyle w:val="2"/>
        <w:rPr>
          <w:lang w:eastAsia="zh-CN"/>
        </w:rPr>
      </w:pPr>
      <w:r>
        <w:rPr>
          <w:rFonts w:hint="eastAsia"/>
          <w:lang w:eastAsia="zh-CN"/>
        </w:rPr>
        <w:t>R</w:t>
      </w:r>
      <w:r>
        <w:rPr>
          <w:lang w:eastAsia="zh-CN"/>
        </w:rPr>
        <w:t>eference</w:t>
      </w:r>
    </w:p>
    <w:p>
      <w:pPr>
        <w:pStyle w:val="126"/>
        <w:rPr>
          <w:rFonts w:hint="default"/>
          <w:lang w:val="en-US" w:eastAsia="zh-CN"/>
        </w:rPr>
      </w:pPr>
      <w:bookmarkStart w:id="4" w:name="_Ref525119031"/>
      <w:r>
        <w:rPr>
          <w:rFonts w:hint="default" w:ascii="Times New Roman" w:hAnsi="Times New Roman" w:cs="Times New Roman"/>
          <w:sz w:val="20"/>
          <w:szCs w:val="15"/>
          <w:highlight w:val="none"/>
          <w:lang w:eastAsia="zh-CN"/>
        </w:rPr>
        <w:t>3GPP RAN</w:t>
      </w:r>
      <w:r>
        <w:rPr>
          <w:rFonts w:hint="eastAsia" w:ascii="Times New Roman" w:hAnsi="Times New Roman" w:cs="Times New Roman"/>
          <w:sz w:val="20"/>
          <w:szCs w:val="15"/>
          <w:highlight w:val="none"/>
          <w:lang w:val="en-US" w:eastAsia="zh-CN"/>
        </w:rPr>
        <w:t>1</w:t>
      </w:r>
      <w:r>
        <w:rPr>
          <w:rFonts w:hint="default" w:ascii="Times New Roman" w:hAnsi="Times New Roman" w:cs="Times New Roman"/>
          <w:sz w:val="20"/>
          <w:szCs w:val="15"/>
          <w:highlight w:val="none"/>
          <w:lang w:eastAsia="zh-CN"/>
        </w:rPr>
        <w:t>#</w:t>
      </w:r>
      <w:r>
        <w:rPr>
          <w:rFonts w:hint="eastAsia" w:ascii="Times New Roman" w:hAnsi="Times New Roman" w:cs="Times New Roman"/>
          <w:sz w:val="20"/>
          <w:szCs w:val="15"/>
          <w:highlight w:val="none"/>
          <w:lang w:val="en-US" w:eastAsia="zh-CN"/>
        </w:rPr>
        <w:t>10</w:t>
      </w:r>
      <w:r>
        <w:rPr>
          <w:rFonts w:hint="default" w:cs="Times New Roman"/>
          <w:sz w:val="20"/>
          <w:szCs w:val="15"/>
          <w:highlight w:val="none"/>
          <w:lang w:val="en-US" w:eastAsia="zh-CN"/>
        </w:rPr>
        <w:t>7-e</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 xml:space="preserve"> C</w:t>
      </w:r>
      <w:r>
        <w:rPr>
          <w:rFonts w:hint="eastAsia"/>
          <w:lang w:val="en-US" w:eastAsia="zh-CN"/>
        </w:rPr>
        <w:t>hairman</w:t>
      </w:r>
      <w:r>
        <w:rPr>
          <w:rFonts w:hint="default"/>
          <w:lang w:val="en-US" w:eastAsia="zh-CN"/>
        </w:rPr>
        <w:t>’</w:t>
      </w:r>
      <w:r>
        <w:rPr>
          <w:rFonts w:hint="eastAsia"/>
          <w:lang w:val="en-US" w:eastAsia="zh-CN"/>
        </w:rPr>
        <w:t xml:space="preserve">s note. </w:t>
      </w:r>
    </w:p>
    <w:bookmarkEnd w:id="4"/>
    <w:p>
      <w:pPr>
        <w:pStyle w:val="126"/>
        <w:rPr>
          <w:rFonts w:hint="default"/>
          <w:lang w:val="en-US" w:eastAsia="zh-CN"/>
        </w:rPr>
      </w:pPr>
      <w:r>
        <w:rPr>
          <w:rFonts w:hint="default"/>
          <w:lang w:val="en-US" w:eastAsia="zh-CN"/>
        </w:rPr>
        <w:t>3GPP RAN</w:t>
      </w:r>
      <w:r>
        <w:rPr>
          <w:rFonts w:hint="eastAsia"/>
          <w:lang w:val="en-US" w:eastAsia="zh-CN"/>
        </w:rPr>
        <w:t>1</w:t>
      </w:r>
      <w:r>
        <w:rPr>
          <w:rFonts w:hint="default"/>
          <w:lang w:val="en-US" w:eastAsia="zh-CN"/>
        </w:rPr>
        <w:t>#</w:t>
      </w:r>
      <w:r>
        <w:rPr>
          <w:rFonts w:hint="eastAsia"/>
          <w:lang w:val="en-US" w:eastAsia="zh-CN"/>
        </w:rPr>
        <w:t>10</w:t>
      </w:r>
      <w:r>
        <w:rPr>
          <w:rFonts w:hint="default"/>
          <w:lang w:val="en-US" w:eastAsia="zh-CN"/>
        </w:rPr>
        <w:t>7bis</w:t>
      </w:r>
      <w:r>
        <w:rPr>
          <w:rFonts w:hint="eastAsia"/>
          <w:lang w:val="en-US" w:eastAsia="zh-CN"/>
        </w:rPr>
        <w:t>-</w:t>
      </w:r>
      <w:r>
        <w:rPr>
          <w:rFonts w:hint="default"/>
          <w:lang w:val="en-US" w:eastAsia="zh-CN"/>
        </w:rPr>
        <w:t xml:space="preserve">e, </w:t>
      </w:r>
      <w:r>
        <w:rPr>
          <w:rFonts w:hint="eastAsia"/>
          <w:lang w:val="en-US" w:eastAsia="zh-CN"/>
        </w:rPr>
        <w:fldChar w:fldCharType="begin"/>
      </w:r>
      <w:r>
        <w:rPr>
          <w:rFonts w:hint="eastAsia"/>
          <w:lang w:val="en-US" w:eastAsia="zh-CN"/>
        </w:rPr>
        <w:instrText xml:space="preserve"> HYPERLINK "C:/Program%20Files%20(x86)/zMail/app/zMail/WebContent/pcWeb/Scripts/MailControls/ReadPanelIframe/javascript:void(0);" \t "C:/Program%20Files%20(x86)/zMail/app/zMail/WebContent/pcWeb/Scripts/MailControls/ReadPanelIframe/_blank" </w:instrText>
      </w:r>
      <w:r>
        <w:rPr>
          <w:rFonts w:hint="eastAsia"/>
          <w:lang w:val="en-US" w:eastAsia="zh-CN"/>
        </w:rPr>
        <w:fldChar w:fldCharType="separate"/>
      </w:r>
      <w:r>
        <w:rPr>
          <w:rFonts w:hint="default"/>
          <w:lang w:val="en-US" w:eastAsia="zh-CN"/>
        </w:rPr>
        <w:t>R1-2200790</w:t>
      </w:r>
      <w:r>
        <w:rPr>
          <w:rFonts w:hint="default"/>
          <w:lang w:val="en-US" w:eastAsia="zh-CN"/>
        </w:rPr>
        <w:fldChar w:fldCharType="end"/>
      </w:r>
      <w:r>
        <w:rPr>
          <w:rFonts w:hint="eastAsia"/>
          <w:lang w:val="en-US" w:eastAsia="zh-CN"/>
        </w:rPr>
        <w:t>, [10</w:t>
      </w:r>
      <w:r>
        <w:rPr>
          <w:rFonts w:hint="default"/>
          <w:lang w:val="en-US" w:eastAsia="zh-CN"/>
        </w:rPr>
        <w:t>7</w:t>
      </w:r>
      <w:r>
        <w:rPr>
          <w:rFonts w:hint="eastAsia"/>
          <w:lang w:val="en-US" w:eastAsia="zh-CN"/>
        </w:rPr>
        <w:t xml:space="preserve">-e-NR-R17-CovEnh-03] Summary of email discussion on joint channel estimation for PUSCH, </w:t>
      </w:r>
      <w:r>
        <w:rPr>
          <w:rFonts w:hint="default"/>
          <w:lang w:val="en-US" w:eastAsia="zh-CN"/>
        </w:rPr>
        <w:t>Moderator (China Telecom)</w:t>
      </w:r>
      <w:r>
        <w:rPr>
          <w:rFonts w:hint="eastAsia"/>
          <w:lang w:val="en-US" w:eastAsia="zh-CN"/>
        </w:rPr>
        <w:t>.</w:t>
      </w:r>
      <w:r>
        <w:rPr>
          <w:rFonts w:hint="default"/>
          <w:lang w:val="en-US" w:eastAsia="zh-CN"/>
        </w:rPr>
        <w:tab/>
      </w:r>
    </w:p>
    <w:p>
      <w:pPr>
        <w:pStyle w:val="126"/>
        <w:rPr>
          <w:lang w:eastAsia="zh-CN"/>
        </w:rPr>
      </w:pPr>
      <w:r>
        <w:rPr>
          <w:rFonts w:hint="default" w:ascii="Times New Roman" w:hAnsi="Times New Roman" w:cs="Times New Roman"/>
          <w:sz w:val="20"/>
          <w:szCs w:val="15"/>
          <w:highlight w:val="none"/>
          <w:lang w:eastAsia="zh-CN"/>
        </w:rPr>
        <w:t>3GPP RAN</w:t>
      </w:r>
      <w:r>
        <w:rPr>
          <w:rFonts w:hint="eastAsia" w:ascii="Times New Roman" w:hAnsi="Times New Roman" w:cs="Times New Roman"/>
          <w:sz w:val="20"/>
          <w:szCs w:val="15"/>
          <w:highlight w:val="none"/>
          <w:lang w:val="en-US" w:eastAsia="zh-CN"/>
        </w:rPr>
        <w:t>1</w:t>
      </w:r>
      <w:r>
        <w:rPr>
          <w:rFonts w:hint="default" w:ascii="Times New Roman" w:hAnsi="Times New Roman" w:cs="Times New Roman"/>
          <w:sz w:val="20"/>
          <w:szCs w:val="15"/>
          <w:highlight w:val="none"/>
          <w:lang w:eastAsia="zh-CN"/>
        </w:rPr>
        <w:t>#</w:t>
      </w:r>
      <w:r>
        <w:rPr>
          <w:rFonts w:hint="eastAsia" w:ascii="Times New Roman" w:hAnsi="Times New Roman" w:cs="Times New Roman"/>
          <w:sz w:val="20"/>
          <w:szCs w:val="15"/>
          <w:highlight w:val="none"/>
          <w:lang w:val="en-US" w:eastAsia="zh-CN"/>
        </w:rPr>
        <w:t>10</w:t>
      </w:r>
      <w:r>
        <w:rPr>
          <w:rFonts w:hint="eastAsia" w:cs="Times New Roman"/>
          <w:sz w:val="20"/>
          <w:szCs w:val="15"/>
          <w:highlight w:val="none"/>
          <w:lang w:val="en-US" w:eastAsia="zh-CN"/>
        </w:rPr>
        <w:t>8</w:t>
      </w:r>
      <w:r>
        <w:rPr>
          <w:rFonts w:hint="eastAsia" w:ascii="Times New Roman" w:hAnsi="Times New Roman" w:cs="Times New Roman"/>
          <w:sz w:val="20"/>
          <w:szCs w:val="15"/>
          <w:highlight w:val="none"/>
          <w:lang w:val="en-US" w:eastAsia="zh-CN"/>
        </w:rPr>
        <w:t>-</w:t>
      </w:r>
      <w:r>
        <w:rPr>
          <w:rFonts w:hint="default" w:ascii="Times New Roman" w:hAnsi="Times New Roman" w:cs="Times New Roman"/>
          <w:sz w:val="20"/>
          <w:szCs w:val="15"/>
          <w:highlight w:val="none"/>
          <w:lang w:val="en-US" w:eastAsia="zh-CN"/>
        </w:rPr>
        <w:t xml:space="preserve">e, </w:t>
      </w:r>
      <w:r>
        <w:rPr>
          <w:rFonts w:hint="eastAsia"/>
          <w:lang w:val="en-US" w:eastAsia="zh-CN"/>
        </w:rPr>
        <w:t xml:space="preserve">R1-2201384, </w:t>
      </w:r>
      <w:r>
        <w:rPr>
          <w:rFonts w:hint="eastAsia" w:ascii="Times New Roman" w:hAnsi="Times New Roman" w:cs="Times New Roman"/>
          <w:sz w:val="20"/>
          <w:szCs w:val="15"/>
          <w:highlight w:val="none"/>
          <w:lang w:val="en-US" w:eastAsia="zh-CN"/>
        </w:rPr>
        <w:t>Clarification on power control adjustment for PUSCH/PUCCH repetitions</w:t>
      </w:r>
      <w:r>
        <w:rPr>
          <w:rFonts w:hint="eastAsia" w:cs="Times New Roman"/>
          <w:sz w:val="20"/>
          <w:szCs w:val="15"/>
          <w:highlight w:val="none"/>
          <w:lang w:val="en-US" w:eastAsia="zh-CN"/>
        </w:rPr>
        <w:t>, ZTE</w:t>
      </w:r>
      <w:r>
        <w:rPr>
          <w:rFonts w:hint="eastAsia" w:ascii="Times New Roman" w:hAnsi="Times New Roman" w:cs="Times New Roman"/>
          <w:sz w:val="20"/>
          <w:szCs w:val="15"/>
          <w:highlight w:val="none"/>
          <w:lang w:val="en-US" w:eastAsia="zh-CN"/>
        </w:rPr>
        <w:t>.</w:t>
      </w:r>
      <w:r>
        <w:rPr>
          <w:rFonts w:hint="default" w:ascii="Times New Roman" w:hAnsi="Times New Roman" w:cs="Times New Roman"/>
          <w:sz w:val="20"/>
          <w:szCs w:val="15"/>
          <w:highlight w:val="none"/>
          <w:lang w:val="en-US" w:eastAsia="zh-CN"/>
        </w:rPr>
        <w:tab/>
      </w:r>
    </w:p>
    <w:p>
      <w:pPr>
        <w:rPr>
          <w:szCs w:val="22"/>
          <w:lang w:val="en-US" w:eastAsia="zh-CN"/>
        </w:rPr>
      </w:pPr>
    </w:p>
    <w:bookmarkEnd w:id="5"/>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pgBorders>
        <w:top w:val="none" w:sz="0" w:space="0"/>
        <w:left w:val="none" w:sz="0" w:space="0"/>
        <w:bottom w:val="none" w:sz="0" w:space="0"/>
        <w:right w:val="none" w:sz="0" w:space="0"/>
      </w:pgBorders>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0D67560A"/>
    <w:multiLevelType w:val="multilevel"/>
    <w:tmpl w:val="0D67560A"/>
    <w:lvl w:ilvl="0" w:tentative="0">
      <w:start w:val="1"/>
      <w:numFmt w:val="decimalZero"/>
      <w:pStyle w:val="152"/>
      <w:lvlText w:val="[00%1]"/>
      <w:lvlJc w:val="left"/>
      <w:pPr>
        <w:tabs>
          <w:tab w:val="left" w:pos="1080"/>
        </w:tabs>
        <w:ind w:left="0" w:firstLine="0"/>
      </w:pPr>
      <w:rPr>
        <w:rFonts w:hint="default" w:ascii="Times New Roman" w:hAnsi="Times New Roman" w:cs="Times New Roman"/>
        <w:b/>
        <w:i w:val="0"/>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0F5616EB"/>
    <w:multiLevelType w:val="multilevel"/>
    <w:tmpl w:val="0F5616EB"/>
    <w:lvl w:ilvl="0" w:tentative="0">
      <w:start w:val="1"/>
      <w:numFmt w:val="bullet"/>
      <w:lvlText w:val=""/>
      <w:lvlJc w:val="left"/>
      <w:pPr>
        <w:ind w:left="354" w:hanging="420"/>
      </w:pPr>
      <w:rPr>
        <w:rFonts w:hint="default" w:ascii="Wingdings" w:hAnsi="Wingdings"/>
      </w:rPr>
    </w:lvl>
    <w:lvl w:ilvl="1" w:tentative="0">
      <w:start w:val="1"/>
      <w:numFmt w:val="bullet"/>
      <w:lvlText w:val="‐"/>
      <w:lvlJc w:val="left"/>
      <w:pPr>
        <w:ind w:left="774" w:hanging="420"/>
      </w:pPr>
      <w:rPr>
        <w:rFonts w:hint="eastAsia" w:ascii="宋体" w:hAnsi="宋体" w:eastAsia="宋体"/>
      </w:rPr>
    </w:lvl>
    <w:lvl w:ilvl="2" w:tentative="0">
      <w:start w:val="1"/>
      <w:numFmt w:val="bullet"/>
      <w:lvlText w:val=""/>
      <w:lvlJc w:val="left"/>
      <w:pPr>
        <w:ind w:left="1194" w:hanging="420"/>
      </w:pPr>
      <w:rPr>
        <w:rFonts w:hint="default" w:ascii="Wingdings" w:hAnsi="Wingdings"/>
      </w:rPr>
    </w:lvl>
    <w:lvl w:ilvl="3" w:tentative="0">
      <w:start w:val="1"/>
      <w:numFmt w:val="bullet"/>
      <w:lvlText w:val=""/>
      <w:lvlJc w:val="left"/>
      <w:pPr>
        <w:ind w:left="1614" w:hanging="420"/>
      </w:pPr>
      <w:rPr>
        <w:rFonts w:hint="default" w:ascii="Wingdings" w:hAnsi="Wingdings"/>
      </w:rPr>
    </w:lvl>
    <w:lvl w:ilvl="4" w:tentative="0">
      <w:start w:val="1"/>
      <w:numFmt w:val="bullet"/>
      <w:lvlText w:val=""/>
      <w:lvlJc w:val="left"/>
      <w:pPr>
        <w:ind w:left="2034" w:hanging="420"/>
      </w:pPr>
      <w:rPr>
        <w:rFonts w:hint="default" w:ascii="Wingdings" w:hAnsi="Wingdings"/>
      </w:rPr>
    </w:lvl>
    <w:lvl w:ilvl="5" w:tentative="0">
      <w:start w:val="1"/>
      <w:numFmt w:val="bullet"/>
      <w:lvlText w:val=""/>
      <w:lvlJc w:val="left"/>
      <w:pPr>
        <w:ind w:left="2454" w:hanging="420"/>
      </w:pPr>
      <w:rPr>
        <w:rFonts w:hint="default" w:ascii="Wingdings" w:hAnsi="Wingdings"/>
      </w:rPr>
    </w:lvl>
    <w:lvl w:ilvl="6" w:tentative="0">
      <w:start w:val="1"/>
      <w:numFmt w:val="bullet"/>
      <w:lvlText w:val=""/>
      <w:lvlJc w:val="left"/>
      <w:pPr>
        <w:ind w:left="2874" w:hanging="420"/>
      </w:pPr>
      <w:rPr>
        <w:rFonts w:hint="default" w:ascii="Wingdings" w:hAnsi="Wingdings"/>
      </w:rPr>
    </w:lvl>
    <w:lvl w:ilvl="7" w:tentative="0">
      <w:start w:val="1"/>
      <w:numFmt w:val="bullet"/>
      <w:lvlText w:val=""/>
      <w:lvlJc w:val="left"/>
      <w:pPr>
        <w:ind w:left="3294" w:hanging="420"/>
      </w:pPr>
      <w:rPr>
        <w:rFonts w:hint="default" w:ascii="Wingdings" w:hAnsi="Wingdings"/>
      </w:rPr>
    </w:lvl>
    <w:lvl w:ilvl="8" w:tentative="0">
      <w:start w:val="1"/>
      <w:numFmt w:val="bullet"/>
      <w:lvlText w:val=""/>
      <w:lvlJc w:val="left"/>
      <w:pPr>
        <w:ind w:left="3714" w:hanging="420"/>
      </w:pPr>
      <w:rPr>
        <w:rFonts w:hint="default" w:ascii="Wingdings" w:hAnsi="Wingdings"/>
      </w:rPr>
    </w:lvl>
  </w:abstractNum>
  <w:abstractNum w:abstractNumId="3">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4">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6">
    <w:nsid w:val="52182509"/>
    <w:multiLevelType w:val="multilevel"/>
    <w:tmpl w:val="5218250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57297BAF"/>
    <w:multiLevelType w:val="multilevel"/>
    <w:tmpl w:val="57297BA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5A081E28"/>
    <w:multiLevelType w:val="multilevel"/>
    <w:tmpl w:val="5A081E28"/>
    <w:lvl w:ilvl="0" w:tentative="0">
      <w:start w:val="1"/>
      <w:numFmt w:val="bullet"/>
      <w:lvlText w:val=""/>
      <w:lvlJc w:val="left"/>
      <w:pPr>
        <w:ind w:left="60" w:hanging="420"/>
      </w:pPr>
      <w:rPr>
        <w:rFonts w:hint="default" w:ascii="Wingdings" w:hAnsi="Wingdings"/>
      </w:rPr>
    </w:lvl>
    <w:lvl w:ilvl="1" w:tentative="0">
      <w:start w:val="1"/>
      <w:numFmt w:val="bullet"/>
      <w:lvlText w:val="‐"/>
      <w:lvlJc w:val="left"/>
      <w:pPr>
        <w:ind w:left="480" w:hanging="420"/>
      </w:pPr>
      <w:rPr>
        <w:rFonts w:hint="eastAsia" w:ascii="宋体" w:hAnsi="宋体" w:eastAsia="宋体"/>
      </w:rPr>
    </w:lvl>
    <w:lvl w:ilvl="2" w:tentative="0">
      <w:start w:val="1"/>
      <w:numFmt w:val="bullet"/>
      <w:lvlText w:val=""/>
      <w:lvlJc w:val="left"/>
      <w:pPr>
        <w:ind w:left="900" w:hanging="420"/>
      </w:pPr>
      <w:rPr>
        <w:rFonts w:hint="default" w:ascii="Wingdings" w:hAnsi="Wingdings"/>
      </w:rPr>
    </w:lvl>
    <w:lvl w:ilvl="3" w:tentative="0">
      <w:start w:val="1"/>
      <w:numFmt w:val="bullet"/>
      <w:lvlText w:val=""/>
      <w:lvlJc w:val="left"/>
      <w:pPr>
        <w:ind w:left="1320" w:hanging="420"/>
      </w:pPr>
      <w:rPr>
        <w:rFonts w:hint="default" w:ascii="Wingdings" w:hAnsi="Wingdings"/>
      </w:rPr>
    </w:lvl>
    <w:lvl w:ilvl="4" w:tentative="0">
      <w:start w:val="1"/>
      <w:numFmt w:val="bullet"/>
      <w:lvlText w:val=""/>
      <w:lvlJc w:val="left"/>
      <w:pPr>
        <w:ind w:left="1740" w:hanging="420"/>
      </w:pPr>
      <w:rPr>
        <w:rFonts w:hint="default" w:ascii="Wingdings" w:hAnsi="Wingdings"/>
      </w:rPr>
    </w:lvl>
    <w:lvl w:ilvl="5" w:tentative="0">
      <w:start w:val="1"/>
      <w:numFmt w:val="bullet"/>
      <w:lvlText w:val=""/>
      <w:lvlJc w:val="left"/>
      <w:pPr>
        <w:ind w:left="2160" w:hanging="420"/>
      </w:pPr>
      <w:rPr>
        <w:rFonts w:hint="default" w:ascii="Wingdings" w:hAnsi="Wingdings"/>
      </w:rPr>
    </w:lvl>
    <w:lvl w:ilvl="6" w:tentative="0">
      <w:start w:val="1"/>
      <w:numFmt w:val="bullet"/>
      <w:lvlText w:val=""/>
      <w:lvlJc w:val="left"/>
      <w:pPr>
        <w:ind w:left="2580" w:hanging="420"/>
      </w:pPr>
      <w:rPr>
        <w:rFonts w:hint="default" w:ascii="Wingdings" w:hAnsi="Wingdings"/>
      </w:rPr>
    </w:lvl>
    <w:lvl w:ilvl="7" w:tentative="0">
      <w:start w:val="1"/>
      <w:numFmt w:val="bullet"/>
      <w:lvlText w:val=""/>
      <w:lvlJc w:val="left"/>
      <w:pPr>
        <w:ind w:left="3000" w:hanging="420"/>
      </w:pPr>
      <w:rPr>
        <w:rFonts w:hint="default" w:ascii="Wingdings" w:hAnsi="Wingdings"/>
      </w:rPr>
    </w:lvl>
    <w:lvl w:ilvl="8" w:tentative="0">
      <w:start w:val="1"/>
      <w:numFmt w:val="bullet"/>
      <w:lvlText w:val=""/>
      <w:lvlJc w:val="left"/>
      <w:pPr>
        <w:ind w:left="3420" w:hanging="420"/>
      </w:pPr>
      <w:rPr>
        <w:rFonts w:hint="default" w:ascii="Wingdings" w:hAnsi="Wingdings"/>
      </w:rPr>
    </w:lvl>
  </w:abstractNum>
  <w:abstractNum w:abstractNumId="9">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58F74E2"/>
    <w:multiLevelType w:val="multilevel"/>
    <w:tmpl w:val="658F74E2"/>
    <w:lvl w:ilvl="0" w:tentative="0">
      <w:start w:val="1"/>
      <w:numFmt w:val="bullet"/>
      <w:lvlText w:val=""/>
      <w:lvlJc w:val="left"/>
      <w:pPr>
        <w:ind w:left="420" w:hanging="420"/>
      </w:pPr>
      <w:rPr>
        <w:rFonts w:hint="default" w:ascii="Wingdings" w:hAnsi="Wingdings"/>
        <w:color w:val="auto"/>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D0F179F"/>
    <w:multiLevelType w:val="multilevel"/>
    <w:tmpl w:val="6D0F179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11"/>
  </w:num>
  <w:num w:numId="4">
    <w:abstractNumId w:val="5"/>
  </w:num>
  <w:num w:numId="5">
    <w:abstractNumId w:val="14"/>
  </w:num>
  <w:num w:numId="6">
    <w:abstractNumId w:val="9"/>
  </w:num>
  <w:num w:numId="7">
    <w:abstractNumId w:val="4"/>
  </w:num>
  <w:num w:numId="8">
    <w:abstractNumId w:val="13"/>
  </w:num>
  <w:num w:numId="9">
    <w:abstractNumId w:val="1"/>
  </w:num>
  <w:num w:numId="10">
    <w:abstractNumId w:val="6"/>
  </w:num>
  <w:num w:numId="11">
    <w:abstractNumId w:val="8"/>
  </w:num>
  <w:num w:numId="12">
    <w:abstractNumId w:val="7"/>
  </w:num>
  <w:num w:numId="13">
    <w:abstractNumId w:val="12"/>
  </w:num>
  <w:num w:numId="14">
    <w:abstractNumId w:val="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42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60B"/>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445"/>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4E7"/>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B95"/>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B81"/>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B59"/>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A1D"/>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DE"/>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86"/>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261"/>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1DB"/>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74F"/>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675"/>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C90"/>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3E1E"/>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041CA2"/>
    <w:rsid w:val="010449C8"/>
    <w:rsid w:val="012227BC"/>
    <w:rsid w:val="012361AD"/>
    <w:rsid w:val="01273B60"/>
    <w:rsid w:val="012A1069"/>
    <w:rsid w:val="013E6BC5"/>
    <w:rsid w:val="013F7A03"/>
    <w:rsid w:val="01500DA0"/>
    <w:rsid w:val="015F62C1"/>
    <w:rsid w:val="016402CE"/>
    <w:rsid w:val="017E5024"/>
    <w:rsid w:val="0181657E"/>
    <w:rsid w:val="01987F1C"/>
    <w:rsid w:val="01A85479"/>
    <w:rsid w:val="01C37AF8"/>
    <w:rsid w:val="01C43939"/>
    <w:rsid w:val="01EB3A92"/>
    <w:rsid w:val="01EF7D5D"/>
    <w:rsid w:val="02132759"/>
    <w:rsid w:val="0222444D"/>
    <w:rsid w:val="0224385C"/>
    <w:rsid w:val="023C2775"/>
    <w:rsid w:val="025A5203"/>
    <w:rsid w:val="02627A10"/>
    <w:rsid w:val="026A6ED2"/>
    <w:rsid w:val="02737E73"/>
    <w:rsid w:val="02811D65"/>
    <w:rsid w:val="0284643E"/>
    <w:rsid w:val="02996C22"/>
    <w:rsid w:val="02CB1826"/>
    <w:rsid w:val="02DF6378"/>
    <w:rsid w:val="02E51F96"/>
    <w:rsid w:val="03015D7F"/>
    <w:rsid w:val="03023110"/>
    <w:rsid w:val="03532C3F"/>
    <w:rsid w:val="035E745C"/>
    <w:rsid w:val="035F79EB"/>
    <w:rsid w:val="036A2B26"/>
    <w:rsid w:val="036D6407"/>
    <w:rsid w:val="03811BB6"/>
    <w:rsid w:val="03A05306"/>
    <w:rsid w:val="03B25C4C"/>
    <w:rsid w:val="03BD275E"/>
    <w:rsid w:val="03D12146"/>
    <w:rsid w:val="03D24EAD"/>
    <w:rsid w:val="03F44D28"/>
    <w:rsid w:val="03F94E83"/>
    <w:rsid w:val="03FC4856"/>
    <w:rsid w:val="040F5627"/>
    <w:rsid w:val="041416EB"/>
    <w:rsid w:val="041C778B"/>
    <w:rsid w:val="04345173"/>
    <w:rsid w:val="04516F47"/>
    <w:rsid w:val="045273D5"/>
    <w:rsid w:val="04577F93"/>
    <w:rsid w:val="04706353"/>
    <w:rsid w:val="047E59D0"/>
    <w:rsid w:val="048B7799"/>
    <w:rsid w:val="048F11FF"/>
    <w:rsid w:val="049359D5"/>
    <w:rsid w:val="04B72387"/>
    <w:rsid w:val="04C94658"/>
    <w:rsid w:val="04D37B5A"/>
    <w:rsid w:val="04D5788B"/>
    <w:rsid w:val="04E714D0"/>
    <w:rsid w:val="050D4324"/>
    <w:rsid w:val="052B0807"/>
    <w:rsid w:val="054D750F"/>
    <w:rsid w:val="05632A84"/>
    <w:rsid w:val="058C5A60"/>
    <w:rsid w:val="05B528D3"/>
    <w:rsid w:val="05D26CB3"/>
    <w:rsid w:val="05FD5D7B"/>
    <w:rsid w:val="06045E70"/>
    <w:rsid w:val="060A4922"/>
    <w:rsid w:val="061C0C55"/>
    <w:rsid w:val="06343079"/>
    <w:rsid w:val="06360315"/>
    <w:rsid w:val="063C1286"/>
    <w:rsid w:val="06677692"/>
    <w:rsid w:val="066D6105"/>
    <w:rsid w:val="066F4060"/>
    <w:rsid w:val="067D4C1C"/>
    <w:rsid w:val="06854C34"/>
    <w:rsid w:val="068F5699"/>
    <w:rsid w:val="069A1D58"/>
    <w:rsid w:val="069D5D4A"/>
    <w:rsid w:val="06B127E5"/>
    <w:rsid w:val="06C51800"/>
    <w:rsid w:val="06D837B6"/>
    <w:rsid w:val="06D97566"/>
    <w:rsid w:val="0705530E"/>
    <w:rsid w:val="07067712"/>
    <w:rsid w:val="070E2577"/>
    <w:rsid w:val="072043D8"/>
    <w:rsid w:val="072B6B98"/>
    <w:rsid w:val="072F2729"/>
    <w:rsid w:val="07633991"/>
    <w:rsid w:val="07722C34"/>
    <w:rsid w:val="077E7782"/>
    <w:rsid w:val="078903C0"/>
    <w:rsid w:val="078F6F15"/>
    <w:rsid w:val="07904048"/>
    <w:rsid w:val="0791746E"/>
    <w:rsid w:val="079A17B8"/>
    <w:rsid w:val="07A9580A"/>
    <w:rsid w:val="07B35775"/>
    <w:rsid w:val="07C21FA9"/>
    <w:rsid w:val="07D06D7A"/>
    <w:rsid w:val="07DD5AB3"/>
    <w:rsid w:val="08074010"/>
    <w:rsid w:val="0811778C"/>
    <w:rsid w:val="08157906"/>
    <w:rsid w:val="08166EC2"/>
    <w:rsid w:val="082222A5"/>
    <w:rsid w:val="08246CC8"/>
    <w:rsid w:val="082E2D58"/>
    <w:rsid w:val="08476CF8"/>
    <w:rsid w:val="08601212"/>
    <w:rsid w:val="086814F3"/>
    <w:rsid w:val="086D460E"/>
    <w:rsid w:val="087154E4"/>
    <w:rsid w:val="08763D35"/>
    <w:rsid w:val="08840298"/>
    <w:rsid w:val="08844589"/>
    <w:rsid w:val="08891F5A"/>
    <w:rsid w:val="088D57DF"/>
    <w:rsid w:val="08970876"/>
    <w:rsid w:val="08A871B9"/>
    <w:rsid w:val="08AD5890"/>
    <w:rsid w:val="09205847"/>
    <w:rsid w:val="092A0C39"/>
    <w:rsid w:val="0957797D"/>
    <w:rsid w:val="096B6A5A"/>
    <w:rsid w:val="096E57BA"/>
    <w:rsid w:val="0972706B"/>
    <w:rsid w:val="098243DD"/>
    <w:rsid w:val="09860267"/>
    <w:rsid w:val="098678CD"/>
    <w:rsid w:val="098C1905"/>
    <w:rsid w:val="098F2094"/>
    <w:rsid w:val="09954FE7"/>
    <w:rsid w:val="09A342F4"/>
    <w:rsid w:val="09AB11E8"/>
    <w:rsid w:val="09B24204"/>
    <w:rsid w:val="09C21BB6"/>
    <w:rsid w:val="09FE00AB"/>
    <w:rsid w:val="0A046E11"/>
    <w:rsid w:val="0A0F13FD"/>
    <w:rsid w:val="0A5D0E7E"/>
    <w:rsid w:val="0A8C6CD6"/>
    <w:rsid w:val="0ABE143B"/>
    <w:rsid w:val="0AFC60B7"/>
    <w:rsid w:val="0B0A2D9B"/>
    <w:rsid w:val="0B3A69D7"/>
    <w:rsid w:val="0B3C1AF0"/>
    <w:rsid w:val="0B655242"/>
    <w:rsid w:val="0B693974"/>
    <w:rsid w:val="0B6C54FA"/>
    <w:rsid w:val="0B6F6E61"/>
    <w:rsid w:val="0B700A33"/>
    <w:rsid w:val="0B793FFF"/>
    <w:rsid w:val="0B820D65"/>
    <w:rsid w:val="0BA91CAD"/>
    <w:rsid w:val="0BAD56E4"/>
    <w:rsid w:val="0BAD7041"/>
    <w:rsid w:val="0BCD424D"/>
    <w:rsid w:val="0C00413A"/>
    <w:rsid w:val="0C115D76"/>
    <w:rsid w:val="0C137799"/>
    <w:rsid w:val="0C1551CE"/>
    <w:rsid w:val="0C1B4F3E"/>
    <w:rsid w:val="0C4A6C6B"/>
    <w:rsid w:val="0C56233F"/>
    <w:rsid w:val="0C595AA6"/>
    <w:rsid w:val="0C654E67"/>
    <w:rsid w:val="0C6F5654"/>
    <w:rsid w:val="0CB77457"/>
    <w:rsid w:val="0CD571A0"/>
    <w:rsid w:val="0CDE5204"/>
    <w:rsid w:val="0CE24B83"/>
    <w:rsid w:val="0CE37C3D"/>
    <w:rsid w:val="0CE50ED4"/>
    <w:rsid w:val="0CF21C76"/>
    <w:rsid w:val="0D132BA9"/>
    <w:rsid w:val="0D660AC2"/>
    <w:rsid w:val="0D672BF6"/>
    <w:rsid w:val="0D820220"/>
    <w:rsid w:val="0DA01B8B"/>
    <w:rsid w:val="0DB70DAE"/>
    <w:rsid w:val="0DBB3A84"/>
    <w:rsid w:val="0DC10615"/>
    <w:rsid w:val="0DCE068D"/>
    <w:rsid w:val="0DD072F7"/>
    <w:rsid w:val="0DDC43A1"/>
    <w:rsid w:val="0DEE73BC"/>
    <w:rsid w:val="0E120AD5"/>
    <w:rsid w:val="0E2D1625"/>
    <w:rsid w:val="0E3754E8"/>
    <w:rsid w:val="0E5745A0"/>
    <w:rsid w:val="0E640CA7"/>
    <w:rsid w:val="0E74479B"/>
    <w:rsid w:val="0E861004"/>
    <w:rsid w:val="0E8829D1"/>
    <w:rsid w:val="0E933444"/>
    <w:rsid w:val="0E9A4B90"/>
    <w:rsid w:val="0EA33BDF"/>
    <w:rsid w:val="0EB06FFE"/>
    <w:rsid w:val="0ECC510B"/>
    <w:rsid w:val="0EDE7F8B"/>
    <w:rsid w:val="0EEC1999"/>
    <w:rsid w:val="0EEE3958"/>
    <w:rsid w:val="0EF57D78"/>
    <w:rsid w:val="0F0A50A1"/>
    <w:rsid w:val="0F14151F"/>
    <w:rsid w:val="0F1D01AC"/>
    <w:rsid w:val="0F26446A"/>
    <w:rsid w:val="0F2A272E"/>
    <w:rsid w:val="0F323113"/>
    <w:rsid w:val="0F50677D"/>
    <w:rsid w:val="0F507D71"/>
    <w:rsid w:val="0F6E250F"/>
    <w:rsid w:val="0F973CB6"/>
    <w:rsid w:val="0F9C16C6"/>
    <w:rsid w:val="0FB56F6D"/>
    <w:rsid w:val="0FC166A9"/>
    <w:rsid w:val="0FF24EE7"/>
    <w:rsid w:val="0FFB1095"/>
    <w:rsid w:val="100A19C2"/>
    <w:rsid w:val="10150A41"/>
    <w:rsid w:val="101828E5"/>
    <w:rsid w:val="101B366C"/>
    <w:rsid w:val="102D15F4"/>
    <w:rsid w:val="103D4821"/>
    <w:rsid w:val="1042638F"/>
    <w:rsid w:val="1051081F"/>
    <w:rsid w:val="10587DFC"/>
    <w:rsid w:val="10A655E0"/>
    <w:rsid w:val="10B9032D"/>
    <w:rsid w:val="10BE60B3"/>
    <w:rsid w:val="10D80AE3"/>
    <w:rsid w:val="11087971"/>
    <w:rsid w:val="111C11B7"/>
    <w:rsid w:val="112055D4"/>
    <w:rsid w:val="11373F4A"/>
    <w:rsid w:val="11560B91"/>
    <w:rsid w:val="11653C6F"/>
    <w:rsid w:val="11676CCD"/>
    <w:rsid w:val="117E25DB"/>
    <w:rsid w:val="11851E9F"/>
    <w:rsid w:val="11872682"/>
    <w:rsid w:val="119F71CC"/>
    <w:rsid w:val="11B51939"/>
    <w:rsid w:val="11F57174"/>
    <w:rsid w:val="123E7785"/>
    <w:rsid w:val="1257267A"/>
    <w:rsid w:val="126307F9"/>
    <w:rsid w:val="12641DA6"/>
    <w:rsid w:val="12694FD6"/>
    <w:rsid w:val="126E6143"/>
    <w:rsid w:val="12862DD1"/>
    <w:rsid w:val="12A472D8"/>
    <w:rsid w:val="12B47087"/>
    <w:rsid w:val="12CF122D"/>
    <w:rsid w:val="12D24052"/>
    <w:rsid w:val="12DE4561"/>
    <w:rsid w:val="12E541BB"/>
    <w:rsid w:val="12EF42E9"/>
    <w:rsid w:val="12F04DFC"/>
    <w:rsid w:val="12FE321B"/>
    <w:rsid w:val="130859B8"/>
    <w:rsid w:val="13122E26"/>
    <w:rsid w:val="13190935"/>
    <w:rsid w:val="134947C3"/>
    <w:rsid w:val="135349F3"/>
    <w:rsid w:val="13562049"/>
    <w:rsid w:val="135911B7"/>
    <w:rsid w:val="1380021A"/>
    <w:rsid w:val="138A0BAD"/>
    <w:rsid w:val="13A21BC8"/>
    <w:rsid w:val="13A22CE4"/>
    <w:rsid w:val="13AE124E"/>
    <w:rsid w:val="13B80F55"/>
    <w:rsid w:val="13C224D7"/>
    <w:rsid w:val="13DD66A2"/>
    <w:rsid w:val="13F9086E"/>
    <w:rsid w:val="14054947"/>
    <w:rsid w:val="14130F08"/>
    <w:rsid w:val="141E5C0D"/>
    <w:rsid w:val="141F2191"/>
    <w:rsid w:val="14251812"/>
    <w:rsid w:val="142D04D8"/>
    <w:rsid w:val="14380455"/>
    <w:rsid w:val="143C29C7"/>
    <w:rsid w:val="14497411"/>
    <w:rsid w:val="14686D4D"/>
    <w:rsid w:val="146F482D"/>
    <w:rsid w:val="14970691"/>
    <w:rsid w:val="14A47EC8"/>
    <w:rsid w:val="14B665CE"/>
    <w:rsid w:val="14CA46D3"/>
    <w:rsid w:val="14FB4492"/>
    <w:rsid w:val="15043BF5"/>
    <w:rsid w:val="15050319"/>
    <w:rsid w:val="151A0845"/>
    <w:rsid w:val="15377B54"/>
    <w:rsid w:val="15490C35"/>
    <w:rsid w:val="154C13BE"/>
    <w:rsid w:val="15517225"/>
    <w:rsid w:val="1568648A"/>
    <w:rsid w:val="1575AEB2"/>
    <w:rsid w:val="1579497C"/>
    <w:rsid w:val="15824EE1"/>
    <w:rsid w:val="15A66E83"/>
    <w:rsid w:val="15A70CF2"/>
    <w:rsid w:val="15CC20E6"/>
    <w:rsid w:val="15CE61CC"/>
    <w:rsid w:val="15DC48D2"/>
    <w:rsid w:val="15EE136C"/>
    <w:rsid w:val="15F1247C"/>
    <w:rsid w:val="1609639B"/>
    <w:rsid w:val="162915A0"/>
    <w:rsid w:val="162C0344"/>
    <w:rsid w:val="162E3333"/>
    <w:rsid w:val="164F7F6D"/>
    <w:rsid w:val="165273DB"/>
    <w:rsid w:val="165C3E4C"/>
    <w:rsid w:val="165D61C4"/>
    <w:rsid w:val="165E068A"/>
    <w:rsid w:val="16932881"/>
    <w:rsid w:val="16A10349"/>
    <w:rsid w:val="16DB48B1"/>
    <w:rsid w:val="16E92C66"/>
    <w:rsid w:val="16F003E9"/>
    <w:rsid w:val="16F047F2"/>
    <w:rsid w:val="1702D3F2"/>
    <w:rsid w:val="17142659"/>
    <w:rsid w:val="17214315"/>
    <w:rsid w:val="17957399"/>
    <w:rsid w:val="17AD5D9B"/>
    <w:rsid w:val="17E809F8"/>
    <w:rsid w:val="17F80798"/>
    <w:rsid w:val="17FA0254"/>
    <w:rsid w:val="180B054C"/>
    <w:rsid w:val="180E026C"/>
    <w:rsid w:val="181A549B"/>
    <w:rsid w:val="181B0B92"/>
    <w:rsid w:val="182F35F1"/>
    <w:rsid w:val="18536859"/>
    <w:rsid w:val="18556A1C"/>
    <w:rsid w:val="18774C63"/>
    <w:rsid w:val="188D2058"/>
    <w:rsid w:val="189330AE"/>
    <w:rsid w:val="18A50FDB"/>
    <w:rsid w:val="18A516EB"/>
    <w:rsid w:val="18A6016D"/>
    <w:rsid w:val="18B266E2"/>
    <w:rsid w:val="18B65538"/>
    <w:rsid w:val="18BA7603"/>
    <w:rsid w:val="18DD3B7F"/>
    <w:rsid w:val="18FD3F86"/>
    <w:rsid w:val="190769D0"/>
    <w:rsid w:val="192000D8"/>
    <w:rsid w:val="192A6225"/>
    <w:rsid w:val="192B740B"/>
    <w:rsid w:val="19481FB4"/>
    <w:rsid w:val="19502875"/>
    <w:rsid w:val="19654572"/>
    <w:rsid w:val="19C25978"/>
    <w:rsid w:val="19CD0270"/>
    <w:rsid w:val="19CF5864"/>
    <w:rsid w:val="19E0017B"/>
    <w:rsid w:val="19FA6F86"/>
    <w:rsid w:val="1A031C05"/>
    <w:rsid w:val="1A1C5725"/>
    <w:rsid w:val="1A294F64"/>
    <w:rsid w:val="1A2F55A6"/>
    <w:rsid w:val="1A32247E"/>
    <w:rsid w:val="1A514204"/>
    <w:rsid w:val="1A694A95"/>
    <w:rsid w:val="1A6B3E3A"/>
    <w:rsid w:val="1A8E6275"/>
    <w:rsid w:val="1AB32D97"/>
    <w:rsid w:val="1AB87FE6"/>
    <w:rsid w:val="1ADE62D6"/>
    <w:rsid w:val="1B0E5AE1"/>
    <w:rsid w:val="1B2146E0"/>
    <w:rsid w:val="1B2E6DC7"/>
    <w:rsid w:val="1B4E3AF0"/>
    <w:rsid w:val="1B5239A4"/>
    <w:rsid w:val="1B5316CE"/>
    <w:rsid w:val="1B5E59D2"/>
    <w:rsid w:val="1B693C5B"/>
    <w:rsid w:val="1B7022F5"/>
    <w:rsid w:val="1B78317D"/>
    <w:rsid w:val="1B9F7ADA"/>
    <w:rsid w:val="1BA37C56"/>
    <w:rsid w:val="1BB54F75"/>
    <w:rsid w:val="1BB93628"/>
    <w:rsid w:val="1BCB1DA4"/>
    <w:rsid w:val="1BCB22F0"/>
    <w:rsid w:val="1BDC2607"/>
    <w:rsid w:val="1BDC2DFC"/>
    <w:rsid w:val="1BF15F36"/>
    <w:rsid w:val="1BFE480A"/>
    <w:rsid w:val="1C2168C5"/>
    <w:rsid w:val="1C3A713A"/>
    <w:rsid w:val="1C520FD9"/>
    <w:rsid w:val="1C766428"/>
    <w:rsid w:val="1C8C1338"/>
    <w:rsid w:val="1C921230"/>
    <w:rsid w:val="1CAA06DA"/>
    <w:rsid w:val="1CB626A2"/>
    <w:rsid w:val="1CC02EEB"/>
    <w:rsid w:val="1CC24BC0"/>
    <w:rsid w:val="1CF25833"/>
    <w:rsid w:val="1D186B8E"/>
    <w:rsid w:val="1D1C6668"/>
    <w:rsid w:val="1D2355A7"/>
    <w:rsid w:val="1D465FAC"/>
    <w:rsid w:val="1D5A7EED"/>
    <w:rsid w:val="1D5C71FF"/>
    <w:rsid w:val="1D797881"/>
    <w:rsid w:val="1D80587E"/>
    <w:rsid w:val="1D833CB2"/>
    <w:rsid w:val="1D915167"/>
    <w:rsid w:val="1DD50930"/>
    <w:rsid w:val="1DE7561E"/>
    <w:rsid w:val="1DEC3E76"/>
    <w:rsid w:val="1DEF5B1D"/>
    <w:rsid w:val="1DF407BB"/>
    <w:rsid w:val="1E081A8B"/>
    <w:rsid w:val="1E0C4688"/>
    <w:rsid w:val="1E1A5C57"/>
    <w:rsid w:val="1E27481A"/>
    <w:rsid w:val="1E38003B"/>
    <w:rsid w:val="1E557ED0"/>
    <w:rsid w:val="1E562CAB"/>
    <w:rsid w:val="1E5A12CB"/>
    <w:rsid w:val="1E6B3990"/>
    <w:rsid w:val="1E6E41CC"/>
    <w:rsid w:val="1E9F2838"/>
    <w:rsid w:val="1E9F6EAC"/>
    <w:rsid w:val="1EA12998"/>
    <w:rsid w:val="1EA41854"/>
    <w:rsid w:val="1EB815C1"/>
    <w:rsid w:val="1EBA39CE"/>
    <w:rsid w:val="1EDA7E75"/>
    <w:rsid w:val="1EDB5118"/>
    <w:rsid w:val="1EE10D08"/>
    <w:rsid w:val="1F391D93"/>
    <w:rsid w:val="1F4B65CE"/>
    <w:rsid w:val="1F6811F5"/>
    <w:rsid w:val="1F850095"/>
    <w:rsid w:val="1F937D81"/>
    <w:rsid w:val="1FB91CD0"/>
    <w:rsid w:val="1FCE0CEA"/>
    <w:rsid w:val="1FD4731F"/>
    <w:rsid w:val="1FE41590"/>
    <w:rsid w:val="1FE437B8"/>
    <w:rsid w:val="1FEB5923"/>
    <w:rsid w:val="2013006C"/>
    <w:rsid w:val="20155923"/>
    <w:rsid w:val="201F621B"/>
    <w:rsid w:val="20275F86"/>
    <w:rsid w:val="20321F1E"/>
    <w:rsid w:val="20371EBA"/>
    <w:rsid w:val="20444561"/>
    <w:rsid w:val="204559CC"/>
    <w:rsid w:val="2050713D"/>
    <w:rsid w:val="2051019B"/>
    <w:rsid w:val="2059267B"/>
    <w:rsid w:val="206262A6"/>
    <w:rsid w:val="206F6EF8"/>
    <w:rsid w:val="20722218"/>
    <w:rsid w:val="208150A1"/>
    <w:rsid w:val="20872225"/>
    <w:rsid w:val="20910CB1"/>
    <w:rsid w:val="20AA069B"/>
    <w:rsid w:val="20BA2550"/>
    <w:rsid w:val="20BF5E4D"/>
    <w:rsid w:val="20CC11AA"/>
    <w:rsid w:val="20CD42FE"/>
    <w:rsid w:val="20E65374"/>
    <w:rsid w:val="21035A99"/>
    <w:rsid w:val="21076873"/>
    <w:rsid w:val="21282288"/>
    <w:rsid w:val="21472258"/>
    <w:rsid w:val="217365AB"/>
    <w:rsid w:val="218F7AC9"/>
    <w:rsid w:val="21AA0A4A"/>
    <w:rsid w:val="21B15D7D"/>
    <w:rsid w:val="21C35889"/>
    <w:rsid w:val="21D210F5"/>
    <w:rsid w:val="21EC38D8"/>
    <w:rsid w:val="22161566"/>
    <w:rsid w:val="222143B0"/>
    <w:rsid w:val="222575BE"/>
    <w:rsid w:val="2241276D"/>
    <w:rsid w:val="22653C75"/>
    <w:rsid w:val="227C2684"/>
    <w:rsid w:val="227C2816"/>
    <w:rsid w:val="229F4260"/>
    <w:rsid w:val="22C22FF5"/>
    <w:rsid w:val="22CF4013"/>
    <w:rsid w:val="22F03980"/>
    <w:rsid w:val="22FE2795"/>
    <w:rsid w:val="2302281C"/>
    <w:rsid w:val="231E4B98"/>
    <w:rsid w:val="23237381"/>
    <w:rsid w:val="232B0C4F"/>
    <w:rsid w:val="232D30A1"/>
    <w:rsid w:val="23412453"/>
    <w:rsid w:val="23680C07"/>
    <w:rsid w:val="236959BD"/>
    <w:rsid w:val="237C7CBF"/>
    <w:rsid w:val="23810D15"/>
    <w:rsid w:val="238B15F3"/>
    <w:rsid w:val="239B1F41"/>
    <w:rsid w:val="239E142D"/>
    <w:rsid w:val="23BD1EF4"/>
    <w:rsid w:val="23C657B0"/>
    <w:rsid w:val="23D61A36"/>
    <w:rsid w:val="23FA4C05"/>
    <w:rsid w:val="24074E19"/>
    <w:rsid w:val="244B7353"/>
    <w:rsid w:val="2456586B"/>
    <w:rsid w:val="245870DE"/>
    <w:rsid w:val="247247A7"/>
    <w:rsid w:val="2473146A"/>
    <w:rsid w:val="247B14A1"/>
    <w:rsid w:val="2489276D"/>
    <w:rsid w:val="248C2676"/>
    <w:rsid w:val="24970A67"/>
    <w:rsid w:val="24990B16"/>
    <w:rsid w:val="24BB7519"/>
    <w:rsid w:val="24D0128B"/>
    <w:rsid w:val="24D21AA8"/>
    <w:rsid w:val="24D4279B"/>
    <w:rsid w:val="250E5B71"/>
    <w:rsid w:val="25133D8A"/>
    <w:rsid w:val="2529504F"/>
    <w:rsid w:val="253E4E9E"/>
    <w:rsid w:val="25431665"/>
    <w:rsid w:val="2560279C"/>
    <w:rsid w:val="257A7D01"/>
    <w:rsid w:val="25A0147F"/>
    <w:rsid w:val="25D501A2"/>
    <w:rsid w:val="25ED14B6"/>
    <w:rsid w:val="261260B0"/>
    <w:rsid w:val="26152CC2"/>
    <w:rsid w:val="26166BCB"/>
    <w:rsid w:val="261B156F"/>
    <w:rsid w:val="26230FC6"/>
    <w:rsid w:val="26276462"/>
    <w:rsid w:val="262A7AAC"/>
    <w:rsid w:val="264139CC"/>
    <w:rsid w:val="26461698"/>
    <w:rsid w:val="264D17ED"/>
    <w:rsid w:val="26500B8C"/>
    <w:rsid w:val="266D1D9D"/>
    <w:rsid w:val="267C010D"/>
    <w:rsid w:val="26A53593"/>
    <w:rsid w:val="26AF1303"/>
    <w:rsid w:val="26AF7438"/>
    <w:rsid w:val="26EC778D"/>
    <w:rsid w:val="26EE7123"/>
    <w:rsid w:val="26F15181"/>
    <w:rsid w:val="26F60EF2"/>
    <w:rsid w:val="26F7790C"/>
    <w:rsid w:val="27042769"/>
    <w:rsid w:val="27075D9B"/>
    <w:rsid w:val="27085E71"/>
    <w:rsid w:val="271411D6"/>
    <w:rsid w:val="272C1CCE"/>
    <w:rsid w:val="27323917"/>
    <w:rsid w:val="27342BB0"/>
    <w:rsid w:val="274D75F4"/>
    <w:rsid w:val="276E332F"/>
    <w:rsid w:val="27847B8F"/>
    <w:rsid w:val="27864A32"/>
    <w:rsid w:val="27A50B6A"/>
    <w:rsid w:val="27C33078"/>
    <w:rsid w:val="27C5366D"/>
    <w:rsid w:val="27CE3285"/>
    <w:rsid w:val="27D335D7"/>
    <w:rsid w:val="27DD67CA"/>
    <w:rsid w:val="27E73C43"/>
    <w:rsid w:val="27E90817"/>
    <w:rsid w:val="27EF2DBE"/>
    <w:rsid w:val="283B568A"/>
    <w:rsid w:val="28621255"/>
    <w:rsid w:val="28690808"/>
    <w:rsid w:val="28A31317"/>
    <w:rsid w:val="28A81FAC"/>
    <w:rsid w:val="28B07E55"/>
    <w:rsid w:val="28B54AA2"/>
    <w:rsid w:val="28B93E63"/>
    <w:rsid w:val="28BC1634"/>
    <w:rsid w:val="28C77C30"/>
    <w:rsid w:val="28CC2FA1"/>
    <w:rsid w:val="28D557F6"/>
    <w:rsid w:val="28ED2D72"/>
    <w:rsid w:val="28F43DB6"/>
    <w:rsid w:val="290D04CF"/>
    <w:rsid w:val="291B6B03"/>
    <w:rsid w:val="291F43AD"/>
    <w:rsid w:val="29205EA8"/>
    <w:rsid w:val="294D7F95"/>
    <w:rsid w:val="295A76BB"/>
    <w:rsid w:val="295B3766"/>
    <w:rsid w:val="295E42D9"/>
    <w:rsid w:val="29606847"/>
    <w:rsid w:val="297D2BB6"/>
    <w:rsid w:val="297F342E"/>
    <w:rsid w:val="29801BE5"/>
    <w:rsid w:val="29AD65C9"/>
    <w:rsid w:val="29BD027D"/>
    <w:rsid w:val="2A0E7B44"/>
    <w:rsid w:val="2A0F0B23"/>
    <w:rsid w:val="2A0F0C79"/>
    <w:rsid w:val="2A22468F"/>
    <w:rsid w:val="2A257324"/>
    <w:rsid w:val="2A2F123E"/>
    <w:rsid w:val="2A3B5149"/>
    <w:rsid w:val="2A5E49BB"/>
    <w:rsid w:val="2A713BD5"/>
    <w:rsid w:val="2A71440E"/>
    <w:rsid w:val="2A893D90"/>
    <w:rsid w:val="2A8D3388"/>
    <w:rsid w:val="2A932738"/>
    <w:rsid w:val="2A9A305C"/>
    <w:rsid w:val="2A9D552B"/>
    <w:rsid w:val="2AAD00EF"/>
    <w:rsid w:val="2AB61FE9"/>
    <w:rsid w:val="2AC471E3"/>
    <w:rsid w:val="2ACB1712"/>
    <w:rsid w:val="2ADF7C13"/>
    <w:rsid w:val="2AF443C4"/>
    <w:rsid w:val="2AFE2B7E"/>
    <w:rsid w:val="2B1A73FE"/>
    <w:rsid w:val="2B26248E"/>
    <w:rsid w:val="2B273813"/>
    <w:rsid w:val="2B2A5602"/>
    <w:rsid w:val="2B3F1C6E"/>
    <w:rsid w:val="2B527EC9"/>
    <w:rsid w:val="2B6B1F23"/>
    <w:rsid w:val="2B7F2D66"/>
    <w:rsid w:val="2B7F3259"/>
    <w:rsid w:val="2B8B5508"/>
    <w:rsid w:val="2B9D5A0C"/>
    <w:rsid w:val="2BB0714A"/>
    <w:rsid w:val="2BB25377"/>
    <w:rsid w:val="2BDE1872"/>
    <w:rsid w:val="2BDF29BF"/>
    <w:rsid w:val="2BE142ED"/>
    <w:rsid w:val="2C014CD1"/>
    <w:rsid w:val="2C15440D"/>
    <w:rsid w:val="2C174347"/>
    <w:rsid w:val="2C2D69FF"/>
    <w:rsid w:val="2C424B4D"/>
    <w:rsid w:val="2C8070D2"/>
    <w:rsid w:val="2C9C023F"/>
    <w:rsid w:val="2CB23183"/>
    <w:rsid w:val="2CC8533D"/>
    <w:rsid w:val="2CD32952"/>
    <w:rsid w:val="2CF04E98"/>
    <w:rsid w:val="2CFD70CC"/>
    <w:rsid w:val="2D0E0A00"/>
    <w:rsid w:val="2D2D44C8"/>
    <w:rsid w:val="2D376513"/>
    <w:rsid w:val="2D3F2C8E"/>
    <w:rsid w:val="2D412A8E"/>
    <w:rsid w:val="2D470923"/>
    <w:rsid w:val="2D481943"/>
    <w:rsid w:val="2D4D0E21"/>
    <w:rsid w:val="2D694FE4"/>
    <w:rsid w:val="2D8A6FF6"/>
    <w:rsid w:val="2DC863F1"/>
    <w:rsid w:val="2DD75F85"/>
    <w:rsid w:val="2DE65CA0"/>
    <w:rsid w:val="2DF02E1F"/>
    <w:rsid w:val="2DF45B47"/>
    <w:rsid w:val="2DF53171"/>
    <w:rsid w:val="2DFB41DC"/>
    <w:rsid w:val="2E1D4B70"/>
    <w:rsid w:val="2E350033"/>
    <w:rsid w:val="2E4827D9"/>
    <w:rsid w:val="2E535CFE"/>
    <w:rsid w:val="2E597C2E"/>
    <w:rsid w:val="2E5F4D48"/>
    <w:rsid w:val="2E6D6806"/>
    <w:rsid w:val="2E6E7634"/>
    <w:rsid w:val="2E7F1DC7"/>
    <w:rsid w:val="2E875B0E"/>
    <w:rsid w:val="2E930D3B"/>
    <w:rsid w:val="2EAA0DB3"/>
    <w:rsid w:val="2EB72406"/>
    <w:rsid w:val="2ECA7E8A"/>
    <w:rsid w:val="2ED43FC4"/>
    <w:rsid w:val="2EDF20A4"/>
    <w:rsid w:val="2EE82E21"/>
    <w:rsid w:val="2EED37AA"/>
    <w:rsid w:val="2EF44749"/>
    <w:rsid w:val="2EFB627E"/>
    <w:rsid w:val="2F1F36D7"/>
    <w:rsid w:val="2F2367DE"/>
    <w:rsid w:val="2F2F7CA2"/>
    <w:rsid w:val="2F9D43DA"/>
    <w:rsid w:val="2FB33C59"/>
    <w:rsid w:val="2FCB48BF"/>
    <w:rsid w:val="2FD27D5B"/>
    <w:rsid w:val="2FD74E2E"/>
    <w:rsid w:val="2FDF41BB"/>
    <w:rsid w:val="2FF0042F"/>
    <w:rsid w:val="2FF77AA0"/>
    <w:rsid w:val="2FF91044"/>
    <w:rsid w:val="302901BE"/>
    <w:rsid w:val="30480E94"/>
    <w:rsid w:val="30497C87"/>
    <w:rsid w:val="304B7C60"/>
    <w:rsid w:val="305206A1"/>
    <w:rsid w:val="30540837"/>
    <w:rsid w:val="3055096E"/>
    <w:rsid w:val="306A4FC0"/>
    <w:rsid w:val="308D7E44"/>
    <w:rsid w:val="30E55D82"/>
    <w:rsid w:val="30EC5CC6"/>
    <w:rsid w:val="30FB19DC"/>
    <w:rsid w:val="3107240D"/>
    <w:rsid w:val="31195FCB"/>
    <w:rsid w:val="311A54A6"/>
    <w:rsid w:val="314A3681"/>
    <w:rsid w:val="31542D3B"/>
    <w:rsid w:val="315E3DF0"/>
    <w:rsid w:val="3166748C"/>
    <w:rsid w:val="31862AA3"/>
    <w:rsid w:val="31900E67"/>
    <w:rsid w:val="31BB1A94"/>
    <w:rsid w:val="31D56643"/>
    <w:rsid w:val="322E1B7A"/>
    <w:rsid w:val="32303C08"/>
    <w:rsid w:val="3244753C"/>
    <w:rsid w:val="324568C8"/>
    <w:rsid w:val="324F2751"/>
    <w:rsid w:val="32562A70"/>
    <w:rsid w:val="325F048D"/>
    <w:rsid w:val="32832752"/>
    <w:rsid w:val="329C47CD"/>
    <w:rsid w:val="32C70A47"/>
    <w:rsid w:val="32FE23BF"/>
    <w:rsid w:val="330A3699"/>
    <w:rsid w:val="330E6893"/>
    <w:rsid w:val="331A34E4"/>
    <w:rsid w:val="332256D4"/>
    <w:rsid w:val="33304911"/>
    <w:rsid w:val="334074D0"/>
    <w:rsid w:val="33DE0CB9"/>
    <w:rsid w:val="33EC1A91"/>
    <w:rsid w:val="33F64C7F"/>
    <w:rsid w:val="33FB7AC8"/>
    <w:rsid w:val="342239DC"/>
    <w:rsid w:val="344277BC"/>
    <w:rsid w:val="344F7A97"/>
    <w:rsid w:val="34586101"/>
    <w:rsid w:val="346620C8"/>
    <w:rsid w:val="34680CAF"/>
    <w:rsid w:val="347744AE"/>
    <w:rsid w:val="347852A8"/>
    <w:rsid w:val="34A45723"/>
    <w:rsid w:val="34A4797F"/>
    <w:rsid w:val="34AB7E73"/>
    <w:rsid w:val="34CC2CE0"/>
    <w:rsid w:val="34CD0BEA"/>
    <w:rsid w:val="34CF0216"/>
    <w:rsid w:val="34D93029"/>
    <w:rsid w:val="3511129D"/>
    <w:rsid w:val="351D0C22"/>
    <w:rsid w:val="35354E03"/>
    <w:rsid w:val="354328ED"/>
    <w:rsid w:val="355413B8"/>
    <w:rsid w:val="356A1C6B"/>
    <w:rsid w:val="35742CCA"/>
    <w:rsid w:val="357B7B2E"/>
    <w:rsid w:val="35911F22"/>
    <w:rsid w:val="359455FE"/>
    <w:rsid w:val="35993F20"/>
    <w:rsid w:val="35B00442"/>
    <w:rsid w:val="35BB5719"/>
    <w:rsid w:val="35E37771"/>
    <w:rsid w:val="35E96D19"/>
    <w:rsid w:val="35EF263E"/>
    <w:rsid w:val="35FA0617"/>
    <w:rsid w:val="36091FD3"/>
    <w:rsid w:val="36253665"/>
    <w:rsid w:val="36714B62"/>
    <w:rsid w:val="369176E7"/>
    <w:rsid w:val="3694127A"/>
    <w:rsid w:val="369C7B31"/>
    <w:rsid w:val="369E1484"/>
    <w:rsid w:val="36B43102"/>
    <w:rsid w:val="36CD07B0"/>
    <w:rsid w:val="36EE4354"/>
    <w:rsid w:val="37125EDA"/>
    <w:rsid w:val="371724AD"/>
    <w:rsid w:val="372201DB"/>
    <w:rsid w:val="37282390"/>
    <w:rsid w:val="373242C4"/>
    <w:rsid w:val="37340EF6"/>
    <w:rsid w:val="373E20CB"/>
    <w:rsid w:val="374B60EF"/>
    <w:rsid w:val="374C5B70"/>
    <w:rsid w:val="37514821"/>
    <w:rsid w:val="375712F6"/>
    <w:rsid w:val="375C57D7"/>
    <w:rsid w:val="37987F08"/>
    <w:rsid w:val="379C388B"/>
    <w:rsid w:val="37A575E2"/>
    <w:rsid w:val="37AE2A15"/>
    <w:rsid w:val="37B173DB"/>
    <w:rsid w:val="37CB3A11"/>
    <w:rsid w:val="37DD651E"/>
    <w:rsid w:val="37EB4DE1"/>
    <w:rsid w:val="37FA6F08"/>
    <w:rsid w:val="3815223D"/>
    <w:rsid w:val="381A51F4"/>
    <w:rsid w:val="3823131E"/>
    <w:rsid w:val="38351EFB"/>
    <w:rsid w:val="383B0423"/>
    <w:rsid w:val="38452EC8"/>
    <w:rsid w:val="384D4EAB"/>
    <w:rsid w:val="3852359F"/>
    <w:rsid w:val="386276E6"/>
    <w:rsid w:val="386C5C36"/>
    <w:rsid w:val="387B67FC"/>
    <w:rsid w:val="388A060E"/>
    <w:rsid w:val="3895149A"/>
    <w:rsid w:val="389A4183"/>
    <w:rsid w:val="38B72FE3"/>
    <w:rsid w:val="38BA113F"/>
    <w:rsid w:val="38BE1860"/>
    <w:rsid w:val="38F53BAE"/>
    <w:rsid w:val="390F3B85"/>
    <w:rsid w:val="39191517"/>
    <w:rsid w:val="391B4947"/>
    <w:rsid w:val="39205BF2"/>
    <w:rsid w:val="392806A3"/>
    <w:rsid w:val="39362F4F"/>
    <w:rsid w:val="393855B5"/>
    <w:rsid w:val="39447902"/>
    <w:rsid w:val="39493938"/>
    <w:rsid w:val="39707B04"/>
    <w:rsid w:val="397347DF"/>
    <w:rsid w:val="397F1536"/>
    <w:rsid w:val="39AD6E99"/>
    <w:rsid w:val="39B500BF"/>
    <w:rsid w:val="39BB105A"/>
    <w:rsid w:val="39CC25A4"/>
    <w:rsid w:val="39D550CB"/>
    <w:rsid w:val="39E064BB"/>
    <w:rsid w:val="39E3386F"/>
    <w:rsid w:val="39E7205F"/>
    <w:rsid w:val="39ED0B9E"/>
    <w:rsid w:val="39F90804"/>
    <w:rsid w:val="3A135075"/>
    <w:rsid w:val="3A474C0E"/>
    <w:rsid w:val="3A4E4F88"/>
    <w:rsid w:val="3A54276D"/>
    <w:rsid w:val="3A67157A"/>
    <w:rsid w:val="3A8424B5"/>
    <w:rsid w:val="3A857D28"/>
    <w:rsid w:val="3A8B1413"/>
    <w:rsid w:val="3A946A15"/>
    <w:rsid w:val="3A9A43F1"/>
    <w:rsid w:val="3AA12DFF"/>
    <w:rsid w:val="3AAA7C42"/>
    <w:rsid w:val="3AB31D0C"/>
    <w:rsid w:val="3AC0587C"/>
    <w:rsid w:val="3AC37BE4"/>
    <w:rsid w:val="3AD31FDD"/>
    <w:rsid w:val="3AE547DC"/>
    <w:rsid w:val="3B0E5515"/>
    <w:rsid w:val="3B3418DA"/>
    <w:rsid w:val="3B380971"/>
    <w:rsid w:val="3B3E48C1"/>
    <w:rsid w:val="3B4A3B53"/>
    <w:rsid w:val="3B5F040A"/>
    <w:rsid w:val="3B6B0749"/>
    <w:rsid w:val="3B722323"/>
    <w:rsid w:val="3B90099E"/>
    <w:rsid w:val="3B9A1F43"/>
    <w:rsid w:val="3BAF459B"/>
    <w:rsid w:val="3BC27D88"/>
    <w:rsid w:val="3BC340D0"/>
    <w:rsid w:val="3BCA418F"/>
    <w:rsid w:val="3BD034C7"/>
    <w:rsid w:val="3BDA3DBC"/>
    <w:rsid w:val="3BE90E10"/>
    <w:rsid w:val="3BFB0327"/>
    <w:rsid w:val="3C2B53B9"/>
    <w:rsid w:val="3C2D3B81"/>
    <w:rsid w:val="3C365ECA"/>
    <w:rsid w:val="3C380947"/>
    <w:rsid w:val="3C3C2CEB"/>
    <w:rsid w:val="3C544FDA"/>
    <w:rsid w:val="3C545A70"/>
    <w:rsid w:val="3C640E0E"/>
    <w:rsid w:val="3C923082"/>
    <w:rsid w:val="3CA13237"/>
    <w:rsid w:val="3CB00A68"/>
    <w:rsid w:val="3CBC0066"/>
    <w:rsid w:val="3CBD5FAE"/>
    <w:rsid w:val="3CBE64F1"/>
    <w:rsid w:val="3CCF13AD"/>
    <w:rsid w:val="3CE4238B"/>
    <w:rsid w:val="3CF61444"/>
    <w:rsid w:val="3CF65823"/>
    <w:rsid w:val="3D004ED6"/>
    <w:rsid w:val="3D0354C7"/>
    <w:rsid w:val="3D133BC9"/>
    <w:rsid w:val="3D2818A3"/>
    <w:rsid w:val="3D402263"/>
    <w:rsid w:val="3D515511"/>
    <w:rsid w:val="3D6D132D"/>
    <w:rsid w:val="3D7359C7"/>
    <w:rsid w:val="3D7642C9"/>
    <w:rsid w:val="3DBB2EF1"/>
    <w:rsid w:val="3DC2199E"/>
    <w:rsid w:val="3DC236A2"/>
    <w:rsid w:val="3DC711A7"/>
    <w:rsid w:val="3DD04A9B"/>
    <w:rsid w:val="3DDA6D42"/>
    <w:rsid w:val="3DFA6BAD"/>
    <w:rsid w:val="3DFC0CC4"/>
    <w:rsid w:val="3DFF13D1"/>
    <w:rsid w:val="3E055E2F"/>
    <w:rsid w:val="3E0C4C83"/>
    <w:rsid w:val="3E3A7708"/>
    <w:rsid w:val="3E5373B2"/>
    <w:rsid w:val="3E5650B4"/>
    <w:rsid w:val="3E5E5C59"/>
    <w:rsid w:val="3E644A3A"/>
    <w:rsid w:val="3E7347F4"/>
    <w:rsid w:val="3E746699"/>
    <w:rsid w:val="3E774E9F"/>
    <w:rsid w:val="3E7B4E6D"/>
    <w:rsid w:val="3E856E60"/>
    <w:rsid w:val="3ECE73D3"/>
    <w:rsid w:val="3ED5386B"/>
    <w:rsid w:val="3ED66C0B"/>
    <w:rsid w:val="3EE04EC0"/>
    <w:rsid w:val="3EEF4F9D"/>
    <w:rsid w:val="3EF83C43"/>
    <w:rsid w:val="3EFF1E72"/>
    <w:rsid w:val="3F01664D"/>
    <w:rsid w:val="3F03359F"/>
    <w:rsid w:val="3F175FC8"/>
    <w:rsid w:val="3F2B668A"/>
    <w:rsid w:val="3F2D7544"/>
    <w:rsid w:val="3F4A04F6"/>
    <w:rsid w:val="3F72341B"/>
    <w:rsid w:val="3F7E52AF"/>
    <w:rsid w:val="3F8F4761"/>
    <w:rsid w:val="3F906507"/>
    <w:rsid w:val="3FD010A5"/>
    <w:rsid w:val="3FD26C28"/>
    <w:rsid w:val="3FD90626"/>
    <w:rsid w:val="3FE25597"/>
    <w:rsid w:val="3FE86036"/>
    <w:rsid w:val="3FF752EF"/>
    <w:rsid w:val="40006A3B"/>
    <w:rsid w:val="400C3706"/>
    <w:rsid w:val="401B166F"/>
    <w:rsid w:val="402327C5"/>
    <w:rsid w:val="40235EC7"/>
    <w:rsid w:val="40402F80"/>
    <w:rsid w:val="404E6BC5"/>
    <w:rsid w:val="405227FD"/>
    <w:rsid w:val="40553DBB"/>
    <w:rsid w:val="407121F8"/>
    <w:rsid w:val="40727205"/>
    <w:rsid w:val="40740EA4"/>
    <w:rsid w:val="407868C4"/>
    <w:rsid w:val="407B71B3"/>
    <w:rsid w:val="40850DCD"/>
    <w:rsid w:val="408C26B2"/>
    <w:rsid w:val="40A86A35"/>
    <w:rsid w:val="40B02347"/>
    <w:rsid w:val="40B34353"/>
    <w:rsid w:val="40B845E5"/>
    <w:rsid w:val="40C9499F"/>
    <w:rsid w:val="41001558"/>
    <w:rsid w:val="4108158E"/>
    <w:rsid w:val="410A2C4A"/>
    <w:rsid w:val="412F1013"/>
    <w:rsid w:val="41484CB0"/>
    <w:rsid w:val="41581722"/>
    <w:rsid w:val="419532ED"/>
    <w:rsid w:val="419B3D5B"/>
    <w:rsid w:val="41AC1D9C"/>
    <w:rsid w:val="41BC3617"/>
    <w:rsid w:val="41DD01B8"/>
    <w:rsid w:val="42394836"/>
    <w:rsid w:val="423D24D5"/>
    <w:rsid w:val="4242619A"/>
    <w:rsid w:val="424F6EDD"/>
    <w:rsid w:val="428713D0"/>
    <w:rsid w:val="428D2478"/>
    <w:rsid w:val="42B13B32"/>
    <w:rsid w:val="42B20782"/>
    <w:rsid w:val="42B707C1"/>
    <w:rsid w:val="42DF035B"/>
    <w:rsid w:val="42F2086D"/>
    <w:rsid w:val="42F547BF"/>
    <w:rsid w:val="430A6BB3"/>
    <w:rsid w:val="431516B3"/>
    <w:rsid w:val="43175F09"/>
    <w:rsid w:val="43312245"/>
    <w:rsid w:val="434527B5"/>
    <w:rsid w:val="435E1BE6"/>
    <w:rsid w:val="438F37A9"/>
    <w:rsid w:val="43994B5C"/>
    <w:rsid w:val="43A35BAC"/>
    <w:rsid w:val="43A950A2"/>
    <w:rsid w:val="43AD0B77"/>
    <w:rsid w:val="43B37475"/>
    <w:rsid w:val="43CA7211"/>
    <w:rsid w:val="43EC5BA6"/>
    <w:rsid w:val="43F7565F"/>
    <w:rsid w:val="440E38E3"/>
    <w:rsid w:val="44312E59"/>
    <w:rsid w:val="443C706E"/>
    <w:rsid w:val="4452439C"/>
    <w:rsid w:val="44540F0B"/>
    <w:rsid w:val="445F7B15"/>
    <w:rsid w:val="44675F50"/>
    <w:rsid w:val="446E2683"/>
    <w:rsid w:val="447177A7"/>
    <w:rsid w:val="448B7CB5"/>
    <w:rsid w:val="44917C93"/>
    <w:rsid w:val="44BD24BB"/>
    <w:rsid w:val="44DB7CB3"/>
    <w:rsid w:val="44DC5A71"/>
    <w:rsid w:val="44FB0E45"/>
    <w:rsid w:val="45021BC2"/>
    <w:rsid w:val="450D10FF"/>
    <w:rsid w:val="45441242"/>
    <w:rsid w:val="45523D87"/>
    <w:rsid w:val="455F4C9C"/>
    <w:rsid w:val="45950B66"/>
    <w:rsid w:val="45961040"/>
    <w:rsid w:val="45BF4853"/>
    <w:rsid w:val="46136785"/>
    <w:rsid w:val="46141491"/>
    <w:rsid w:val="462D5278"/>
    <w:rsid w:val="462E578F"/>
    <w:rsid w:val="463A4CA7"/>
    <w:rsid w:val="46487CC3"/>
    <w:rsid w:val="464C4AA1"/>
    <w:rsid w:val="46717378"/>
    <w:rsid w:val="46790C77"/>
    <w:rsid w:val="467D2F71"/>
    <w:rsid w:val="46876CFF"/>
    <w:rsid w:val="46A40FB9"/>
    <w:rsid w:val="46D41E44"/>
    <w:rsid w:val="46D93C52"/>
    <w:rsid w:val="46DF25F3"/>
    <w:rsid w:val="470F0FB2"/>
    <w:rsid w:val="4726567B"/>
    <w:rsid w:val="472D41FA"/>
    <w:rsid w:val="472F3155"/>
    <w:rsid w:val="47353225"/>
    <w:rsid w:val="479A09A1"/>
    <w:rsid w:val="479C3959"/>
    <w:rsid w:val="47A04331"/>
    <w:rsid w:val="47A4662F"/>
    <w:rsid w:val="47A5261F"/>
    <w:rsid w:val="47AE2F53"/>
    <w:rsid w:val="47BB1643"/>
    <w:rsid w:val="47CE46DA"/>
    <w:rsid w:val="47E018D3"/>
    <w:rsid w:val="47E20A61"/>
    <w:rsid w:val="47E94F34"/>
    <w:rsid w:val="48024F22"/>
    <w:rsid w:val="481C5138"/>
    <w:rsid w:val="48202D76"/>
    <w:rsid w:val="483F2CF3"/>
    <w:rsid w:val="48505BAA"/>
    <w:rsid w:val="48731A5E"/>
    <w:rsid w:val="488A4398"/>
    <w:rsid w:val="48CA5E73"/>
    <w:rsid w:val="48CC4877"/>
    <w:rsid w:val="48CE1A00"/>
    <w:rsid w:val="490F3065"/>
    <w:rsid w:val="491E029B"/>
    <w:rsid w:val="49216A6A"/>
    <w:rsid w:val="49222D62"/>
    <w:rsid w:val="492E16ED"/>
    <w:rsid w:val="49502142"/>
    <w:rsid w:val="49521992"/>
    <w:rsid w:val="49551295"/>
    <w:rsid w:val="496938E0"/>
    <w:rsid w:val="496B37C1"/>
    <w:rsid w:val="49756357"/>
    <w:rsid w:val="49882B35"/>
    <w:rsid w:val="498E62B7"/>
    <w:rsid w:val="49B76F66"/>
    <w:rsid w:val="49BA7D50"/>
    <w:rsid w:val="49C44B33"/>
    <w:rsid w:val="49D17660"/>
    <w:rsid w:val="49F273C7"/>
    <w:rsid w:val="4A160844"/>
    <w:rsid w:val="4A7C2A22"/>
    <w:rsid w:val="4A8604DA"/>
    <w:rsid w:val="4AA73636"/>
    <w:rsid w:val="4AAA62AF"/>
    <w:rsid w:val="4AC42BC6"/>
    <w:rsid w:val="4AFE0DE7"/>
    <w:rsid w:val="4B094C89"/>
    <w:rsid w:val="4B104ABC"/>
    <w:rsid w:val="4B143D25"/>
    <w:rsid w:val="4B255188"/>
    <w:rsid w:val="4B2D6CE4"/>
    <w:rsid w:val="4B2E5E75"/>
    <w:rsid w:val="4B383F2F"/>
    <w:rsid w:val="4B3872E6"/>
    <w:rsid w:val="4B4F72A4"/>
    <w:rsid w:val="4B625E65"/>
    <w:rsid w:val="4B627D35"/>
    <w:rsid w:val="4B677E52"/>
    <w:rsid w:val="4B7F05B4"/>
    <w:rsid w:val="4B871486"/>
    <w:rsid w:val="4B9D2A88"/>
    <w:rsid w:val="4BA7167D"/>
    <w:rsid w:val="4BBD255E"/>
    <w:rsid w:val="4C140DFC"/>
    <w:rsid w:val="4C3B5420"/>
    <w:rsid w:val="4C3E45A0"/>
    <w:rsid w:val="4C515227"/>
    <w:rsid w:val="4C5604A8"/>
    <w:rsid w:val="4C5E07EC"/>
    <w:rsid w:val="4C6D0539"/>
    <w:rsid w:val="4C7F2D60"/>
    <w:rsid w:val="4C8721E5"/>
    <w:rsid w:val="4C987828"/>
    <w:rsid w:val="4CA149AE"/>
    <w:rsid w:val="4CA50C40"/>
    <w:rsid w:val="4CC87216"/>
    <w:rsid w:val="4D0465E3"/>
    <w:rsid w:val="4D071C38"/>
    <w:rsid w:val="4D2744ED"/>
    <w:rsid w:val="4D285BED"/>
    <w:rsid w:val="4D35388D"/>
    <w:rsid w:val="4D3741CF"/>
    <w:rsid w:val="4D425A95"/>
    <w:rsid w:val="4D7A0B6A"/>
    <w:rsid w:val="4DA255E7"/>
    <w:rsid w:val="4DA408AB"/>
    <w:rsid w:val="4DB0348E"/>
    <w:rsid w:val="4DC915FF"/>
    <w:rsid w:val="4DD26580"/>
    <w:rsid w:val="4DD81B64"/>
    <w:rsid w:val="4DDE1762"/>
    <w:rsid w:val="4DEE15CF"/>
    <w:rsid w:val="4DF51404"/>
    <w:rsid w:val="4DF766ED"/>
    <w:rsid w:val="4DF91B55"/>
    <w:rsid w:val="4E5633F4"/>
    <w:rsid w:val="4E6B485C"/>
    <w:rsid w:val="4E7740D9"/>
    <w:rsid w:val="4EAC0AFF"/>
    <w:rsid w:val="4EC2021D"/>
    <w:rsid w:val="4EEB3FAB"/>
    <w:rsid w:val="4EFB7AAC"/>
    <w:rsid w:val="4F001CA3"/>
    <w:rsid w:val="4F084B37"/>
    <w:rsid w:val="4F1971FB"/>
    <w:rsid w:val="4F33564A"/>
    <w:rsid w:val="4F51625A"/>
    <w:rsid w:val="4F7E0E2B"/>
    <w:rsid w:val="4F805D9D"/>
    <w:rsid w:val="4F840BE7"/>
    <w:rsid w:val="4F914334"/>
    <w:rsid w:val="4F960616"/>
    <w:rsid w:val="4FA710B2"/>
    <w:rsid w:val="4FAC2061"/>
    <w:rsid w:val="4FBB221F"/>
    <w:rsid w:val="4FD0657E"/>
    <w:rsid w:val="4FF85F86"/>
    <w:rsid w:val="50036E2B"/>
    <w:rsid w:val="500A77B8"/>
    <w:rsid w:val="501E4753"/>
    <w:rsid w:val="503247CC"/>
    <w:rsid w:val="504B0DF0"/>
    <w:rsid w:val="50510E8E"/>
    <w:rsid w:val="50617662"/>
    <w:rsid w:val="50637ABB"/>
    <w:rsid w:val="5064084A"/>
    <w:rsid w:val="50795BD3"/>
    <w:rsid w:val="50924D47"/>
    <w:rsid w:val="50BD1398"/>
    <w:rsid w:val="50E75DFA"/>
    <w:rsid w:val="50FD13B2"/>
    <w:rsid w:val="510B691D"/>
    <w:rsid w:val="511518E7"/>
    <w:rsid w:val="51282D4D"/>
    <w:rsid w:val="51327881"/>
    <w:rsid w:val="51472876"/>
    <w:rsid w:val="51482369"/>
    <w:rsid w:val="514A53B9"/>
    <w:rsid w:val="51506626"/>
    <w:rsid w:val="51670B73"/>
    <w:rsid w:val="51676314"/>
    <w:rsid w:val="5169168B"/>
    <w:rsid w:val="516B43B1"/>
    <w:rsid w:val="51926DC2"/>
    <w:rsid w:val="51A85918"/>
    <w:rsid w:val="51B92337"/>
    <w:rsid w:val="51C47CF6"/>
    <w:rsid w:val="51D414D1"/>
    <w:rsid w:val="520D14C5"/>
    <w:rsid w:val="521B4163"/>
    <w:rsid w:val="52225E2A"/>
    <w:rsid w:val="525E1C82"/>
    <w:rsid w:val="529641A0"/>
    <w:rsid w:val="529F3F6F"/>
    <w:rsid w:val="52AD6634"/>
    <w:rsid w:val="52B421B3"/>
    <w:rsid w:val="52C9608E"/>
    <w:rsid w:val="52CB4CEE"/>
    <w:rsid w:val="52CD7045"/>
    <w:rsid w:val="52D9178A"/>
    <w:rsid w:val="52D92F17"/>
    <w:rsid w:val="52DA6A4B"/>
    <w:rsid w:val="52F14073"/>
    <w:rsid w:val="52FA02A6"/>
    <w:rsid w:val="52FC6789"/>
    <w:rsid w:val="52FE30BB"/>
    <w:rsid w:val="531303E0"/>
    <w:rsid w:val="532F01FB"/>
    <w:rsid w:val="535366CE"/>
    <w:rsid w:val="5356206E"/>
    <w:rsid w:val="536E79E7"/>
    <w:rsid w:val="5375123D"/>
    <w:rsid w:val="537C2CE1"/>
    <w:rsid w:val="538B500A"/>
    <w:rsid w:val="538E0FE0"/>
    <w:rsid w:val="5395369D"/>
    <w:rsid w:val="53B60B8E"/>
    <w:rsid w:val="53F2046D"/>
    <w:rsid w:val="53F313A1"/>
    <w:rsid w:val="54207E6C"/>
    <w:rsid w:val="546C2EE1"/>
    <w:rsid w:val="547C6FFE"/>
    <w:rsid w:val="54A4764F"/>
    <w:rsid w:val="54AC329D"/>
    <w:rsid w:val="54B40D35"/>
    <w:rsid w:val="54CE2507"/>
    <w:rsid w:val="54D87345"/>
    <w:rsid w:val="54F13598"/>
    <w:rsid w:val="55041845"/>
    <w:rsid w:val="55173EFE"/>
    <w:rsid w:val="55181CD2"/>
    <w:rsid w:val="552359D0"/>
    <w:rsid w:val="55474BFE"/>
    <w:rsid w:val="555A759A"/>
    <w:rsid w:val="555B7D08"/>
    <w:rsid w:val="55613604"/>
    <w:rsid w:val="556F7282"/>
    <w:rsid w:val="557837FF"/>
    <w:rsid w:val="557C2EDD"/>
    <w:rsid w:val="55932908"/>
    <w:rsid w:val="559B4141"/>
    <w:rsid w:val="55BB65AB"/>
    <w:rsid w:val="55BD4A9F"/>
    <w:rsid w:val="55D01D97"/>
    <w:rsid w:val="55D9013B"/>
    <w:rsid w:val="55DF5A77"/>
    <w:rsid w:val="55E9733B"/>
    <w:rsid w:val="55F611D5"/>
    <w:rsid w:val="55F75347"/>
    <w:rsid w:val="55F94D61"/>
    <w:rsid w:val="56311EFB"/>
    <w:rsid w:val="56435B11"/>
    <w:rsid w:val="56526251"/>
    <w:rsid w:val="565A7E63"/>
    <w:rsid w:val="565E0057"/>
    <w:rsid w:val="56745085"/>
    <w:rsid w:val="56783354"/>
    <w:rsid w:val="569A4DDE"/>
    <w:rsid w:val="56A37ED2"/>
    <w:rsid w:val="56C20B3A"/>
    <w:rsid w:val="56D951D8"/>
    <w:rsid w:val="56DD0905"/>
    <w:rsid w:val="57114B38"/>
    <w:rsid w:val="57244B18"/>
    <w:rsid w:val="572F65FC"/>
    <w:rsid w:val="57323D7B"/>
    <w:rsid w:val="5754428D"/>
    <w:rsid w:val="575F6399"/>
    <w:rsid w:val="576C2A72"/>
    <w:rsid w:val="57775C20"/>
    <w:rsid w:val="577A519D"/>
    <w:rsid w:val="5784017F"/>
    <w:rsid w:val="578753C2"/>
    <w:rsid w:val="578877B2"/>
    <w:rsid w:val="57931253"/>
    <w:rsid w:val="579345B0"/>
    <w:rsid w:val="579B183D"/>
    <w:rsid w:val="57C026C5"/>
    <w:rsid w:val="57DE5E13"/>
    <w:rsid w:val="57E553DC"/>
    <w:rsid w:val="57EA6028"/>
    <w:rsid w:val="57EF6871"/>
    <w:rsid w:val="57F801CA"/>
    <w:rsid w:val="57FE4B2C"/>
    <w:rsid w:val="5806770C"/>
    <w:rsid w:val="58156620"/>
    <w:rsid w:val="58232E06"/>
    <w:rsid w:val="58235FFE"/>
    <w:rsid w:val="58240039"/>
    <w:rsid w:val="5828231D"/>
    <w:rsid w:val="582F5FB6"/>
    <w:rsid w:val="58446A9A"/>
    <w:rsid w:val="58521B64"/>
    <w:rsid w:val="58797B85"/>
    <w:rsid w:val="588564CC"/>
    <w:rsid w:val="588E1B2D"/>
    <w:rsid w:val="58AC1B34"/>
    <w:rsid w:val="58DE4F52"/>
    <w:rsid w:val="58E87853"/>
    <w:rsid w:val="58F975F9"/>
    <w:rsid w:val="590F5BA6"/>
    <w:rsid w:val="59452EB4"/>
    <w:rsid w:val="595A121E"/>
    <w:rsid w:val="595E5E8F"/>
    <w:rsid w:val="59723C37"/>
    <w:rsid w:val="598E354F"/>
    <w:rsid w:val="599D777F"/>
    <w:rsid w:val="59AD6642"/>
    <w:rsid w:val="59C75644"/>
    <w:rsid w:val="59CB7E5E"/>
    <w:rsid w:val="5A0D1E1B"/>
    <w:rsid w:val="5A1358BE"/>
    <w:rsid w:val="5A171839"/>
    <w:rsid w:val="5A9B60CF"/>
    <w:rsid w:val="5AE252AD"/>
    <w:rsid w:val="5AE801DE"/>
    <w:rsid w:val="5AF07FF7"/>
    <w:rsid w:val="5AF422E5"/>
    <w:rsid w:val="5AF96FC8"/>
    <w:rsid w:val="5B055B8B"/>
    <w:rsid w:val="5B1D042A"/>
    <w:rsid w:val="5B2D15C6"/>
    <w:rsid w:val="5B512B1F"/>
    <w:rsid w:val="5B6434B9"/>
    <w:rsid w:val="5B66356A"/>
    <w:rsid w:val="5B8F7B3A"/>
    <w:rsid w:val="5B9550BC"/>
    <w:rsid w:val="5B9A384A"/>
    <w:rsid w:val="5BA16ADF"/>
    <w:rsid w:val="5BBD7DE5"/>
    <w:rsid w:val="5BC53FD9"/>
    <w:rsid w:val="5BD76CE2"/>
    <w:rsid w:val="5BF243F2"/>
    <w:rsid w:val="5BF26431"/>
    <w:rsid w:val="5C006D9C"/>
    <w:rsid w:val="5C007245"/>
    <w:rsid w:val="5C01190A"/>
    <w:rsid w:val="5C0E728A"/>
    <w:rsid w:val="5C1C7139"/>
    <w:rsid w:val="5C24009C"/>
    <w:rsid w:val="5C3077A3"/>
    <w:rsid w:val="5C5460F8"/>
    <w:rsid w:val="5C7965BA"/>
    <w:rsid w:val="5C8D0454"/>
    <w:rsid w:val="5C904D30"/>
    <w:rsid w:val="5C906A11"/>
    <w:rsid w:val="5CC910D9"/>
    <w:rsid w:val="5CCA2991"/>
    <w:rsid w:val="5CCC7D4D"/>
    <w:rsid w:val="5CCF110B"/>
    <w:rsid w:val="5CF8206E"/>
    <w:rsid w:val="5D223BCF"/>
    <w:rsid w:val="5D272F84"/>
    <w:rsid w:val="5D3F4902"/>
    <w:rsid w:val="5D443734"/>
    <w:rsid w:val="5D4906B8"/>
    <w:rsid w:val="5D4B6511"/>
    <w:rsid w:val="5D573AAA"/>
    <w:rsid w:val="5D7A7A29"/>
    <w:rsid w:val="5DBB6E1B"/>
    <w:rsid w:val="5DD5283F"/>
    <w:rsid w:val="5DE15F89"/>
    <w:rsid w:val="5DFB535E"/>
    <w:rsid w:val="5E014018"/>
    <w:rsid w:val="5E2545DE"/>
    <w:rsid w:val="5E2D54F3"/>
    <w:rsid w:val="5E3E3656"/>
    <w:rsid w:val="5E4A1248"/>
    <w:rsid w:val="5E6B7E83"/>
    <w:rsid w:val="5E780DEA"/>
    <w:rsid w:val="5E7B7D5D"/>
    <w:rsid w:val="5E8E5422"/>
    <w:rsid w:val="5E967BC7"/>
    <w:rsid w:val="5EB20C6B"/>
    <w:rsid w:val="5EBF641D"/>
    <w:rsid w:val="5ECB1097"/>
    <w:rsid w:val="5EDA541B"/>
    <w:rsid w:val="5EDF0BC7"/>
    <w:rsid w:val="5EE31366"/>
    <w:rsid w:val="5EEB572F"/>
    <w:rsid w:val="5EF67CAA"/>
    <w:rsid w:val="5EF70321"/>
    <w:rsid w:val="5EFA7DCF"/>
    <w:rsid w:val="5EFC49EE"/>
    <w:rsid w:val="5F1159EE"/>
    <w:rsid w:val="5F132495"/>
    <w:rsid w:val="5F183785"/>
    <w:rsid w:val="5F192C0B"/>
    <w:rsid w:val="5F34718C"/>
    <w:rsid w:val="5F43573D"/>
    <w:rsid w:val="5F4A5F40"/>
    <w:rsid w:val="5F503BD5"/>
    <w:rsid w:val="5F631FA8"/>
    <w:rsid w:val="5F716B9B"/>
    <w:rsid w:val="5F8806CE"/>
    <w:rsid w:val="5FB46BDD"/>
    <w:rsid w:val="5FB47922"/>
    <w:rsid w:val="5FC10EFF"/>
    <w:rsid w:val="5FC8581F"/>
    <w:rsid w:val="5FDE65E5"/>
    <w:rsid w:val="5FE75659"/>
    <w:rsid w:val="5FE90AF8"/>
    <w:rsid w:val="5FF37799"/>
    <w:rsid w:val="5FFC4FB3"/>
    <w:rsid w:val="5FFC7F84"/>
    <w:rsid w:val="600327E7"/>
    <w:rsid w:val="60371E1A"/>
    <w:rsid w:val="6042150C"/>
    <w:rsid w:val="606C030D"/>
    <w:rsid w:val="60843483"/>
    <w:rsid w:val="609304D5"/>
    <w:rsid w:val="609C1A2D"/>
    <w:rsid w:val="60D92107"/>
    <w:rsid w:val="61050DE0"/>
    <w:rsid w:val="610B0AE6"/>
    <w:rsid w:val="61121ABD"/>
    <w:rsid w:val="612E38D8"/>
    <w:rsid w:val="614A2142"/>
    <w:rsid w:val="61531DCE"/>
    <w:rsid w:val="615A7A18"/>
    <w:rsid w:val="615F337C"/>
    <w:rsid w:val="61675E10"/>
    <w:rsid w:val="618064C2"/>
    <w:rsid w:val="618B3038"/>
    <w:rsid w:val="618F2C7E"/>
    <w:rsid w:val="61920A41"/>
    <w:rsid w:val="61943B9E"/>
    <w:rsid w:val="61A65FA2"/>
    <w:rsid w:val="61BC23D0"/>
    <w:rsid w:val="61D050B8"/>
    <w:rsid w:val="621B0D5E"/>
    <w:rsid w:val="623C66DF"/>
    <w:rsid w:val="625D4569"/>
    <w:rsid w:val="626226F9"/>
    <w:rsid w:val="62665DC7"/>
    <w:rsid w:val="627033F5"/>
    <w:rsid w:val="627175DC"/>
    <w:rsid w:val="62930E52"/>
    <w:rsid w:val="62B70B96"/>
    <w:rsid w:val="62B81295"/>
    <w:rsid w:val="62C85B43"/>
    <w:rsid w:val="62CA4312"/>
    <w:rsid w:val="62D7433C"/>
    <w:rsid w:val="62E155D8"/>
    <w:rsid w:val="631D4B61"/>
    <w:rsid w:val="63212F32"/>
    <w:rsid w:val="632F6127"/>
    <w:rsid w:val="63570CC7"/>
    <w:rsid w:val="63586237"/>
    <w:rsid w:val="635A4BE4"/>
    <w:rsid w:val="635F1FDF"/>
    <w:rsid w:val="63664ABF"/>
    <w:rsid w:val="636E431C"/>
    <w:rsid w:val="63BE4D5A"/>
    <w:rsid w:val="63C9065D"/>
    <w:rsid w:val="63E4433E"/>
    <w:rsid w:val="63EA0248"/>
    <w:rsid w:val="64041E7F"/>
    <w:rsid w:val="64290F64"/>
    <w:rsid w:val="64377D57"/>
    <w:rsid w:val="64381F14"/>
    <w:rsid w:val="645143E6"/>
    <w:rsid w:val="645E55E6"/>
    <w:rsid w:val="646129FB"/>
    <w:rsid w:val="64636D0B"/>
    <w:rsid w:val="649815D0"/>
    <w:rsid w:val="64A83DA6"/>
    <w:rsid w:val="64B13D75"/>
    <w:rsid w:val="64BC1880"/>
    <w:rsid w:val="64D25943"/>
    <w:rsid w:val="64E67C56"/>
    <w:rsid w:val="64F777DD"/>
    <w:rsid w:val="64FB0616"/>
    <w:rsid w:val="6528709F"/>
    <w:rsid w:val="652D5E7F"/>
    <w:rsid w:val="6538259F"/>
    <w:rsid w:val="65507243"/>
    <w:rsid w:val="65540F05"/>
    <w:rsid w:val="656027FF"/>
    <w:rsid w:val="65A76F5C"/>
    <w:rsid w:val="65A77101"/>
    <w:rsid w:val="65C753D5"/>
    <w:rsid w:val="65C91022"/>
    <w:rsid w:val="65CD5355"/>
    <w:rsid w:val="65D70FC8"/>
    <w:rsid w:val="660B1CF4"/>
    <w:rsid w:val="660D1534"/>
    <w:rsid w:val="661917C5"/>
    <w:rsid w:val="66457E51"/>
    <w:rsid w:val="666925FA"/>
    <w:rsid w:val="667E4076"/>
    <w:rsid w:val="6680376E"/>
    <w:rsid w:val="66824F18"/>
    <w:rsid w:val="66914004"/>
    <w:rsid w:val="66B920EF"/>
    <w:rsid w:val="66B971D1"/>
    <w:rsid w:val="66DD4FD8"/>
    <w:rsid w:val="66E63B5C"/>
    <w:rsid w:val="66ED31EA"/>
    <w:rsid w:val="66F14F6F"/>
    <w:rsid w:val="66F5579B"/>
    <w:rsid w:val="670D3A4A"/>
    <w:rsid w:val="6725236A"/>
    <w:rsid w:val="672A7FDE"/>
    <w:rsid w:val="672B2DF7"/>
    <w:rsid w:val="6735506E"/>
    <w:rsid w:val="6735593B"/>
    <w:rsid w:val="67361532"/>
    <w:rsid w:val="673E3934"/>
    <w:rsid w:val="674839DC"/>
    <w:rsid w:val="674C28A2"/>
    <w:rsid w:val="675D3DC9"/>
    <w:rsid w:val="67702BF9"/>
    <w:rsid w:val="67864A7F"/>
    <w:rsid w:val="678C79BF"/>
    <w:rsid w:val="67971FA6"/>
    <w:rsid w:val="67976D28"/>
    <w:rsid w:val="679A54EE"/>
    <w:rsid w:val="67D10605"/>
    <w:rsid w:val="67D13F01"/>
    <w:rsid w:val="67E0269A"/>
    <w:rsid w:val="67E748E0"/>
    <w:rsid w:val="67F5278C"/>
    <w:rsid w:val="67F75E8E"/>
    <w:rsid w:val="68085304"/>
    <w:rsid w:val="68277913"/>
    <w:rsid w:val="68293C00"/>
    <w:rsid w:val="683F34DB"/>
    <w:rsid w:val="684129B5"/>
    <w:rsid w:val="6848420E"/>
    <w:rsid w:val="689C7721"/>
    <w:rsid w:val="68B01327"/>
    <w:rsid w:val="68E34B21"/>
    <w:rsid w:val="68F13B92"/>
    <w:rsid w:val="691867A1"/>
    <w:rsid w:val="691A3243"/>
    <w:rsid w:val="69221EE6"/>
    <w:rsid w:val="69260B3E"/>
    <w:rsid w:val="69416797"/>
    <w:rsid w:val="696C42BB"/>
    <w:rsid w:val="697A3A8B"/>
    <w:rsid w:val="698A6B0F"/>
    <w:rsid w:val="698F5E55"/>
    <w:rsid w:val="69BF5FB8"/>
    <w:rsid w:val="69C46AC8"/>
    <w:rsid w:val="69CC14E2"/>
    <w:rsid w:val="69CD6393"/>
    <w:rsid w:val="69D37CB3"/>
    <w:rsid w:val="69EC4C9C"/>
    <w:rsid w:val="69F1784C"/>
    <w:rsid w:val="6A057BA5"/>
    <w:rsid w:val="6A085BC1"/>
    <w:rsid w:val="6A1C7593"/>
    <w:rsid w:val="6A1F7A9F"/>
    <w:rsid w:val="6A38427B"/>
    <w:rsid w:val="6A3B1F14"/>
    <w:rsid w:val="6A3D3241"/>
    <w:rsid w:val="6A76421E"/>
    <w:rsid w:val="6A782EAA"/>
    <w:rsid w:val="6A7D12F1"/>
    <w:rsid w:val="6A8D51AE"/>
    <w:rsid w:val="6AC50D10"/>
    <w:rsid w:val="6AC76160"/>
    <w:rsid w:val="6AD3150D"/>
    <w:rsid w:val="6AF3139D"/>
    <w:rsid w:val="6AFA6684"/>
    <w:rsid w:val="6AFB6699"/>
    <w:rsid w:val="6B0B0E23"/>
    <w:rsid w:val="6B0F435B"/>
    <w:rsid w:val="6B1C49E7"/>
    <w:rsid w:val="6B2A3BF0"/>
    <w:rsid w:val="6B435052"/>
    <w:rsid w:val="6B4873EB"/>
    <w:rsid w:val="6B5657F4"/>
    <w:rsid w:val="6B5F24B5"/>
    <w:rsid w:val="6B6A0FC2"/>
    <w:rsid w:val="6B704279"/>
    <w:rsid w:val="6B731F50"/>
    <w:rsid w:val="6BB24687"/>
    <w:rsid w:val="6BC92163"/>
    <w:rsid w:val="6BCC1B09"/>
    <w:rsid w:val="6BCC62EE"/>
    <w:rsid w:val="6BD930DC"/>
    <w:rsid w:val="6BE82C6E"/>
    <w:rsid w:val="6BEC58FB"/>
    <w:rsid w:val="6BF53230"/>
    <w:rsid w:val="6BF7258C"/>
    <w:rsid w:val="6C0621AA"/>
    <w:rsid w:val="6C1B381B"/>
    <w:rsid w:val="6C2C13AC"/>
    <w:rsid w:val="6C332C69"/>
    <w:rsid w:val="6C5628B0"/>
    <w:rsid w:val="6C667711"/>
    <w:rsid w:val="6C79584D"/>
    <w:rsid w:val="6CDA7FFC"/>
    <w:rsid w:val="6CDB746B"/>
    <w:rsid w:val="6CE23C20"/>
    <w:rsid w:val="6CEF7A41"/>
    <w:rsid w:val="6CF30063"/>
    <w:rsid w:val="6D020EA1"/>
    <w:rsid w:val="6D1D762A"/>
    <w:rsid w:val="6D3F3D3E"/>
    <w:rsid w:val="6D4A3B5E"/>
    <w:rsid w:val="6D6043CF"/>
    <w:rsid w:val="6D777815"/>
    <w:rsid w:val="6D9F68C2"/>
    <w:rsid w:val="6DBA1DDD"/>
    <w:rsid w:val="6DC15D92"/>
    <w:rsid w:val="6DC620EB"/>
    <w:rsid w:val="6DDA0CCD"/>
    <w:rsid w:val="6DE74779"/>
    <w:rsid w:val="6DE96A32"/>
    <w:rsid w:val="6E0F1211"/>
    <w:rsid w:val="6E157FB3"/>
    <w:rsid w:val="6E1665D7"/>
    <w:rsid w:val="6E2F42BB"/>
    <w:rsid w:val="6E6A7916"/>
    <w:rsid w:val="6E732CEA"/>
    <w:rsid w:val="6E966FA7"/>
    <w:rsid w:val="6EDD26C3"/>
    <w:rsid w:val="6EE70A89"/>
    <w:rsid w:val="6EF00E07"/>
    <w:rsid w:val="6F015689"/>
    <w:rsid w:val="6F3756F4"/>
    <w:rsid w:val="6F3B7D08"/>
    <w:rsid w:val="6F596421"/>
    <w:rsid w:val="6F5B1BC6"/>
    <w:rsid w:val="6F6B7D6A"/>
    <w:rsid w:val="6F717B6E"/>
    <w:rsid w:val="6F9A05DA"/>
    <w:rsid w:val="6FB30B76"/>
    <w:rsid w:val="6FBD0858"/>
    <w:rsid w:val="6FC72452"/>
    <w:rsid w:val="6FEA5836"/>
    <w:rsid w:val="6FF7274D"/>
    <w:rsid w:val="702072A7"/>
    <w:rsid w:val="706D1EE1"/>
    <w:rsid w:val="708C3687"/>
    <w:rsid w:val="709241E9"/>
    <w:rsid w:val="70AB0E5A"/>
    <w:rsid w:val="70B15795"/>
    <w:rsid w:val="70E17C9E"/>
    <w:rsid w:val="70E461E3"/>
    <w:rsid w:val="70EA7B43"/>
    <w:rsid w:val="70F754D7"/>
    <w:rsid w:val="70F825BD"/>
    <w:rsid w:val="71020BA8"/>
    <w:rsid w:val="710C7745"/>
    <w:rsid w:val="71204568"/>
    <w:rsid w:val="713B6599"/>
    <w:rsid w:val="71483DC9"/>
    <w:rsid w:val="71615427"/>
    <w:rsid w:val="71963E0C"/>
    <w:rsid w:val="71AC4F7C"/>
    <w:rsid w:val="71B07F93"/>
    <w:rsid w:val="71B92E85"/>
    <w:rsid w:val="71BF6C50"/>
    <w:rsid w:val="71DE24DA"/>
    <w:rsid w:val="71ED7221"/>
    <w:rsid w:val="72117333"/>
    <w:rsid w:val="723B3342"/>
    <w:rsid w:val="724C04FD"/>
    <w:rsid w:val="724E3562"/>
    <w:rsid w:val="725306B2"/>
    <w:rsid w:val="726A3BAF"/>
    <w:rsid w:val="72962C16"/>
    <w:rsid w:val="729647EA"/>
    <w:rsid w:val="72E1752D"/>
    <w:rsid w:val="72FA01FD"/>
    <w:rsid w:val="7300143B"/>
    <w:rsid w:val="73261897"/>
    <w:rsid w:val="733A4E0D"/>
    <w:rsid w:val="73651F5B"/>
    <w:rsid w:val="736D431B"/>
    <w:rsid w:val="736F79D2"/>
    <w:rsid w:val="73725529"/>
    <w:rsid w:val="73951F43"/>
    <w:rsid w:val="73994B04"/>
    <w:rsid w:val="73A015C2"/>
    <w:rsid w:val="73A50BE7"/>
    <w:rsid w:val="73A913CF"/>
    <w:rsid w:val="73AF1870"/>
    <w:rsid w:val="73D12F0B"/>
    <w:rsid w:val="73E554FA"/>
    <w:rsid w:val="73EB1497"/>
    <w:rsid w:val="74000A47"/>
    <w:rsid w:val="740B65B5"/>
    <w:rsid w:val="74484526"/>
    <w:rsid w:val="745B45EA"/>
    <w:rsid w:val="745D0DBF"/>
    <w:rsid w:val="74764C03"/>
    <w:rsid w:val="74885606"/>
    <w:rsid w:val="74902EB2"/>
    <w:rsid w:val="74975D14"/>
    <w:rsid w:val="74A01C8B"/>
    <w:rsid w:val="74B06B64"/>
    <w:rsid w:val="74BB6271"/>
    <w:rsid w:val="74D21BE2"/>
    <w:rsid w:val="751115BE"/>
    <w:rsid w:val="751F2214"/>
    <w:rsid w:val="75380027"/>
    <w:rsid w:val="7541582A"/>
    <w:rsid w:val="754E2408"/>
    <w:rsid w:val="75580F8A"/>
    <w:rsid w:val="755901B1"/>
    <w:rsid w:val="75641A99"/>
    <w:rsid w:val="75676430"/>
    <w:rsid w:val="75740E00"/>
    <w:rsid w:val="757F162D"/>
    <w:rsid w:val="7580114E"/>
    <w:rsid w:val="7588768D"/>
    <w:rsid w:val="758D251F"/>
    <w:rsid w:val="7595771B"/>
    <w:rsid w:val="7598022F"/>
    <w:rsid w:val="75A52BD7"/>
    <w:rsid w:val="75A65C89"/>
    <w:rsid w:val="75BE31B8"/>
    <w:rsid w:val="75C05C2C"/>
    <w:rsid w:val="75CC2D4E"/>
    <w:rsid w:val="75CD3E0E"/>
    <w:rsid w:val="75DE6456"/>
    <w:rsid w:val="75F71430"/>
    <w:rsid w:val="7616035B"/>
    <w:rsid w:val="76201452"/>
    <w:rsid w:val="763A080C"/>
    <w:rsid w:val="765A6478"/>
    <w:rsid w:val="76641507"/>
    <w:rsid w:val="76D34B25"/>
    <w:rsid w:val="76EB5B39"/>
    <w:rsid w:val="76EB6A90"/>
    <w:rsid w:val="76ED2AF4"/>
    <w:rsid w:val="76FB57D0"/>
    <w:rsid w:val="77020138"/>
    <w:rsid w:val="77042F0B"/>
    <w:rsid w:val="77101C07"/>
    <w:rsid w:val="77132632"/>
    <w:rsid w:val="771478EB"/>
    <w:rsid w:val="772233A9"/>
    <w:rsid w:val="77242260"/>
    <w:rsid w:val="77337668"/>
    <w:rsid w:val="773E5387"/>
    <w:rsid w:val="77407904"/>
    <w:rsid w:val="775A5AE2"/>
    <w:rsid w:val="776F4F23"/>
    <w:rsid w:val="77737A1D"/>
    <w:rsid w:val="777672A6"/>
    <w:rsid w:val="778A7010"/>
    <w:rsid w:val="77AB696F"/>
    <w:rsid w:val="77AE5E18"/>
    <w:rsid w:val="77B14E94"/>
    <w:rsid w:val="77B61C34"/>
    <w:rsid w:val="77CD2C53"/>
    <w:rsid w:val="77D159B6"/>
    <w:rsid w:val="77D534D5"/>
    <w:rsid w:val="77DA3CA3"/>
    <w:rsid w:val="77E359DC"/>
    <w:rsid w:val="780363C1"/>
    <w:rsid w:val="78156E78"/>
    <w:rsid w:val="782D5EAF"/>
    <w:rsid w:val="784B3EF6"/>
    <w:rsid w:val="78604CAD"/>
    <w:rsid w:val="787A694B"/>
    <w:rsid w:val="78833E10"/>
    <w:rsid w:val="78857F16"/>
    <w:rsid w:val="7897138D"/>
    <w:rsid w:val="789F1175"/>
    <w:rsid w:val="78A335C7"/>
    <w:rsid w:val="78A515AE"/>
    <w:rsid w:val="78BD3E72"/>
    <w:rsid w:val="78FD0D3A"/>
    <w:rsid w:val="790842E1"/>
    <w:rsid w:val="790B385D"/>
    <w:rsid w:val="79176CCC"/>
    <w:rsid w:val="791C1026"/>
    <w:rsid w:val="792778C8"/>
    <w:rsid w:val="7931734A"/>
    <w:rsid w:val="793C27DB"/>
    <w:rsid w:val="794B5A64"/>
    <w:rsid w:val="79590719"/>
    <w:rsid w:val="796124CE"/>
    <w:rsid w:val="79645956"/>
    <w:rsid w:val="79700230"/>
    <w:rsid w:val="797308E0"/>
    <w:rsid w:val="797B4788"/>
    <w:rsid w:val="7982765F"/>
    <w:rsid w:val="798F6CFA"/>
    <w:rsid w:val="79983041"/>
    <w:rsid w:val="79A13D21"/>
    <w:rsid w:val="79A764DD"/>
    <w:rsid w:val="79A84264"/>
    <w:rsid w:val="79AF2036"/>
    <w:rsid w:val="79BD46A6"/>
    <w:rsid w:val="79C212A2"/>
    <w:rsid w:val="79C945D5"/>
    <w:rsid w:val="7A36081C"/>
    <w:rsid w:val="7A431A7E"/>
    <w:rsid w:val="7A5F4006"/>
    <w:rsid w:val="7A670818"/>
    <w:rsid w:val="7A91133C"/>
    <w:rsid w:val="7AB327A7"/>
    <w:rsid w:val="7AD04A1A"/>
    <w:rsid w:val="7ADB38D4"/>
    <w:rsid w:val="7AE0744A"/>
    <w:rsid w:val="7AE453EE"/>
    <w:rsid w:val="7B0009F0"/>
    <w:rsid w:val="7B1675F8"/>
    <w:rsid w:val="7B1C17B9"/>
    <w:rsid w:val="7B2044F7"/>
    <w:rsid w:val="7B310E5D"/>
    <w:rsid w:val="7B5A6F58"/>
    <w:rsid w:val="7B6C3958"/>
    <w:rsid w:val="7B735B0F"/>
    <w:rsid w:val="7B86255F"/>
    <w:rsid w:val="7BA36090"/>
    <w:rsid w:val="7BA4067E"/>
    <w:rsid w:val="7BC474FD"/>
    <w:rsid w:val="7BC84C59"/>
    <w:rsid w:val="7BDD642E"/>
    <w:rsid w:val="7BF00D94"/>
    <w:rsid w:val="7BF13877"/>
    <w:rsid w:val="7BF85702"/>
    <w:rsid w:val="7C004AA5"/>
    <w:rsid w:val="7C01401C"/>
    <w:rsid w:val="7C0E23DF"/>
    <w:rsid w:val="7C1C1C58"/>
    <w:rsid w:val="7C1E733A"/>
    <w:rsid w:val="7C587C3D"/>
    <w:rsid w:val="7C672719"/>
    <w:rsid w:val="7C686AA1"/>
    <w:rsid w:val="7C782645"/>
    <w:rsid w:val="7C7E290F"/>
    <w:rsid w:val="7C86171B"/>
    <w:rsid w:val="7C876931"/>
    <w:rsid w:val="7C98675C"/>
    <w:rsid w:val="7CA81026"/>
    <w:rsid w:val="7CB33935"/>
    <w:rsid w:val="7CB86B17"/>
    <w:rsid w:val="7CC85AEF"/>
    <w:rsid w:val="7CCA756B"/>
    <w:rsid w:val="7CCD3892"/>
    <w:rsid w:val="7CCD66F5"/>
    <w:rsid w:val="7CD04728"/>
    <w:rsid w:val="7CDA3F1D"/>
    <w:rsid w:val="7CE2746A"/>
    <w:rsid w:val="7CF20ECE"/>
    <w:rsid w:val="7D1E5454"/>
    <w:rsid w:val="7D2950C2"/>
    <w:rsid w:val="7D6870CE"/>
    <w:rsid w:val="7D7246C5"/>
    <w:rsid w:val="7D7A3E7D"/>
    <w:rsid w:val="7D9F26BC"/>
    <w:rsid w:val="7DBE1A3A"/>
    <w:rsid w:val="7DD2691C"/>
    <w:rsid w:val="7DE123D2"/>
    <w:rsid w:val="7DE80900"/>
    <w:rsid w:val="7E021E79"/>
    <w:rsid w:val="7E2870F4"/>
    <w:rsid w:val="7E333FDB"/>
    <w:rsid w:val="7E3563A1"/>
    <w:rsid w:val="7E3842C6"/>
    <w:rsid w:val="7E594170"/>
    <w:rsid w:val="7E647424"/>
    <w:rsid w:val="7E654AE8"/>
    <w:rsid w:val="7E735DA8"/>
    <w:rsid w:val="7E753CCA"/>
    <w:rsid w:val="7E8B460B"/>
    <w:rsid w:val="7E9326F9"/>
    <w:rsid w:val="7E9D42A8"/>
    <w:rsid w:val="7EE10C39"/>
    <w:rsid w:val="7EE20452"/>
    <w:rsid w:val="7F0728CE"/>
    <w:rsid w:val="7F0E6A25"/>
    <w:rsid w:val="7F2F24C5"/>
    <w:rsid w:val="7F395D9C"/>
    <w:rsid w:val="7F443747"/>
    <w:rsid w:val="7F487529"/>
    <w:rsid w:val="7F595FE2"/>
    <w:rsid w:val="7F663CA4"/>
    <w:rsid w:val="7F712118"/>
    <w:rsid w:val="7F79468E"/>
    <w:rsid w:val="7FD47A79"/>
    <w:rsid w:val="7FD9537A"/>
    <w:rsid w:val="7FFF1E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rPr>
  </w:style>
  <w:style w:type="paragraph" w:styleId="4">
    <w:name w:val="heading 3"/>
    <w:basedOn w:val="3"/>
    <w:next w:val="1"/>
    <w:link w:val="106"/>
    <w:qFormat/>
    <w:uiPriority w:val="0"/>
    <w:pPr>
      <w:numPr>
        <w:ilvl w:val="2"/>
      </w:numPr>
      <w:spacing w:before="240"/>
      <w:outlineLvl w:val="2"/>
    </w:pPr>
    <w:rPr>
      <w:rFonts w:ascii="Arial" w:hAnsi="Arial" w:eastAsia="宋体"/>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32"/>
      <w:lang w:val="en-GB" w:eastAsia="en-US"/>
    </w:rPr>
  </w:style>
  <w:style w:type="character" w:customStyle="1" w:styleId="105">
    <w:name w:val="标题 2 Char"/>
    <w:link w:val="3"/>
    <w:qFormat/>
    <w:uiPriority w:val="0"/>
    <w:rPr>
      <w:rFonts w:ascii="Arial" w:hAnsi="Arial" w:eastAsia="宋体"/>
      <w:sz w:val="28"/>
      <w:lang w:val="en-GB" w:eastAsia="en-US"/>
    </w:rPr>
  </w:style>
  <w:style w:type="character" w:customStyle="1" w:styleId="106">
    <w:name w:val="标题 3 Char"/>
    <w:link w:val="4"/>
    <w:qFormat/>
    <w:uiPriority w:val="0"/>
    <w:rPr>
      <w:rFonts w:ascii="Arial" w:hAnsi="Arial" w:eastAsia="宋体"/>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52">
    <w:name w:val="New Paragraph Style"/>
    <w:basedOn w:val="1"/>
    <w:qFormat/>
    <w:uiPriority w:val="0"/>
    <w:pPr>
      <w:widowControl w:val="0"/>
      <w:numPr>
        <w:ilvl w:val="0"/>
        <w:numId w:val="9"/>
      </w:numPr>
      <w:adjustRightInd w:val="0"/>
      <w:spacing w:line="480" w:lineRule="auto"/>
      <w:jc w:val="both"/>
      <w:textAlignment w:val="baseline"/>
    </w:pPr>
    <w:rPr>
      <w:rFonts w:ascii="Courier New" w:hAnsi="Courier New" w:eastAsia="Times New Roman"/>
      <w:bCs/>
      <w:szCs w:val="20"/>
    </w:rPr>
  </w:style>
  <w:style w:type="character" w:customStyle="1" w:styleId="153">
    <w:name w:val="B1 (文字)"/>
    <w:qFormat/>
    <w:locked/>
    <w:uiPriority w:val="0"/>
    <w:rPr>
      <w:rFonts w:ascii="Times New Roman" w:hAnsi="Times New Roman" w:eastAsia="Times New Roman" w:cs="Times New Roman"/>
      <w:sz w:val="20"/>
      <w:szCs w:val="20"/>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37376-A7B6-47B7-A9FE-9D6C62534131}">
  <ds:schemaRefs/>
</ds:datastoreItem>
</file>

<file path=customXml/itemProps3.xml><?xml version="1.0" encoding="utf-8"?>
<ds:datastoreItem xmlns:ds="http://schemas.openxmlformats.org/officeDocument/2006/customXml" ds:itemID="{04BF5348-08CE-46A2-B6C7-D667930F0DC1}">
  <ds:schemaRefs/>
</ds:datastoreItem>
</file>

<file path=customXml/itemProps4.xml><?xml version="1.0" encoding="utf-8"?>
<ds:datastoreItem xmlns:ds="http://schemas.openxmlformats.org/officeDocument/2006/customXml" ds:itemID="{052B0C2A-1627-499A-BDC9-127781D196CB}">
  <ds:schemaRefs/>
</ds:datastoreItem>
</file>

<file path=customXml/itemProps5.xml><?xml version="1.0" encoding="utf-8"?>
<ds:datastoreItem xmlns:ds="http://schemas.openxmlformats.org/officeDocument/2006/customXml" ds:itemID="{4F156B33-FE54-4BF7-8206-606715473FFD}">
  <ds:schemaRefs/>
</ds:datastoreItem>
</file>

<file path=customXml/itemProps6.xml><?xml version="1.0" encoding="utf-8"?>
<ds:datastoreItem xmlns:ds="http://schemas.openxmlformats.org/officeDocument/2006/customXml" ds:itemID="{9C2FF60E-EDDE-47F2-966E-A40547D413B7}">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8</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cp:lastModifiedBy>
  <cp:lastPrinted>2018-04-07T03:05:00Z</cp:lastPrinted>
  <dcterms:modified xsi:type="dcterms:W3CDTF">2022-02-11T09:39:12Z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